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553" w:rsidRPr="00195091" w:rsidRDefault="007F3553" w:rsidP="007F3553">
      <w:pPr>
        <w:pStyle w:val="Header"/>
        <w:jc w:val="right"/>
        <w:rPr>
          <w:rFonts w:asciiTheme="minorHAnsi" w:hAnsiTheme="minorHAnsi"/>
        </w:rPr>
      </w:pPr>
      <w:r w:rsidRPr="00195091">
        <w:rPr>
          <w:rFonts w:asciiTheme="minorHAnsi" w:hAnsiTheme="minorHAnsi"/>
        </w:rPr>
        <w:t xml:space="preserve">Input paper: </w:t>
      </w:r>
      <w:r w:rsidRPr="00195091">
        <w:rPr>
          <w:rStyle w:val="FootnoteReference"/>
          <w:rFonts w:asciiTheme="minorHAnsi" w:hAnsiTheme="minorHAnsi"/>
          <w:sz w:val="22"/>
          <w:vertAlign w:val="superscript"/>
        </w:rPr>
        <w:footnoteReference w:id="1"/>
      </w:r>
      <w:r w:rsidRPr="00195091">
        <w:rPr>
          <w:rFonts w:asciiTheme="minorHAnsi" w:hAnsiTheme="minorHAnsi"/>
        </w:rPr>
        <w:t xml:space="preserve"> </w:t>
      </w:r>
      <w:r w:rsidR="00FB2786" w:rsidRPr="00195091">
        <w:rPr>
          <w:rFonts w:asciiTheme="minorHAnsi" w:hAnsiTheme="minorHAnsi"/>
        </w:rPr>
        <w:t>ENAV21-11.</w:t>
      </w:r>
      <w:r w:rsidR="00F27512">
        <w:rPr>
          <w:rFonts w:asciiTheme="minorHAnsi" w:hAnsiTheme="minorHAnsi"/>
        </w:rPr>
        <w:t>18</w:t>
      </w:r>
    </w:p>
    <w:p w:rsidR="007F3553" w:rsidRPr="00195091" w:rsidRDefault="007F3553" w:rsidP="007F3553">
      <w:pPr>
        <w:pStyle w:val="BodyText"/>
        <w:rPr>
          <w:rFonts w:asciiTheme="minorHAnsi" w:hAnsiTheme="minorHAnsi"/>
        </w:rPr>
      </w:pPr>
    </w:p>
    <w:p w:rsidR="007F3553" w:rsidRPr="00195091" w:rsidRDefault="007F3553" w:rsidP="007F3553">
      <w:pPr>
        <w:pStyle w:val="BodyText"/>
        <w:rPr>
          <w:rFonts w:asciiTheme="minorHAnsi" w:hAnsiTheme="minorHAnsi"/>
        </w:rPr>
      </w:pPr>
    </w:p>
    <w:p w:rsidR="007F3553" w:rsidRPr="00195091" w:rsidRDefault="007F3553" w:rsidP="007F3553">
      <w:pPr>
        <w:pStyle w:val="BodyText"/>
        <w:rPr>
          <w:rFonts w:asciiTheme="minorHAnsi" w:hAnsiTheme="minorHAnsi"/>
        </w:rPr>
      </w:pPr>
      <w:r w:rsidRPr="00195091">
        <w:rPr>
          <w:rFonts w:asciiTheme="minorHAnsi" w:hAnsiTheme="minorHAnsi"/>
        </w:rPr>
        <w:t xml:space="preserve">Input paper for the following Committee(s): </w:t>
      </w:r>
      <w:r w:rsidRPr="00195091">
        <w:rPr>
          <w:rFonts w:asciiTheme="minorHAnsi" w:hAnsiTheme="minorHAnsi"/>
        </w:rPr>
        <w:tab/>
      </w:r>
      <w:r w:rsidRPr="00195091">
        <w:rPr>
          <w:rFonts w:asciiTheme="minorHAnsi" w:hAnsiTheme="minorHAnsi"/>
          <w:sz w:val="18"/>
          <w:szCs w:val="18"/>
        </w:rPr>
        <w:t>check as appropriate</w:t>
      </w:r>
      <w:r w:rsidRPr="00195091">
        <w:rPr>
          <w:rFonts w:asciiTheme="minorHAnsi" w:hAnsiTheme="minorHAnsi"/>
          <w:sz w:val="18"/>
          <w:szCs w:val="18"/>
        </w:rPr>
        <w:tab/>
      </w:r>
      <w:r w:rsidRPr="00195091">
        <w:rPr>
          <w:rFonts w:asciiTheme="minorHAnsi" w:hAnsiTheme="minorHAnsi"/>
        </w:rPr>
        <w:tab/>
        <w:t>Purpose of paper:</w:t>
      </w:r>
    </w:p>
    <w:p w:rsidR="007F3553" w:rsidRPr="00195091" w:rsidRDefault="007F3553" w:rsidP="007F3553">
      <w:pPr>
        <w:pStyle w:val="BodyText"/>
        <w:rPr>
          <w:rFonts w:asciiTheme="minorHAnsi" w:hAnsiTheme="minorHAnsi"/>
          <w:b/>
        </w:rPr>
      </w:pPr>
      <w:proofErr w:type="gramStart"/>
      <w:r w:rsidRPr="00195091">
        <w:rPr>
          <w:rFonts w:asciiTheme="minorHAnsi" w:hAnsiTheme="minorHAnsi"/>
          <w:b/>
        </w:rPr>
        <w:t>□</w:t>
      </w:r>
      <w:r w:rsidRPr="00195091">
        <w:rPr>
          <w:rFonts w:asciiTheme="minorHAnsi" w:hAnsiTheme="minorHAnsi"/>
        </w:rPr>
        <w:t xml:space="preserve">  ARM</w:t>
      </w:r>
      <w:proofErr w:type="gramEnd"/>
      <w:r w:rsidRPr="00195091">
        <w:rPr>
          <w:rFonts w:asciiTheme="minorHAnsi" w:hAnsiTheme="minorHAnsi"/>
        </w:rPr>
        <w:tab/>
      </w:r>
      <w:r w:rsidRPr="00195091">
        <w:rPr>
          <w:rFonts w:asciiTheme="minorHAnsi" w:hAnsiTheme="minorHAnsi"/>
        </w:rPr>
        <w:tab/>
      </w:r>
      <w:r w:rsidRPr="00195091">
        <w:rPr>
          <w:rFonts w:asciiTheme="minorHAnsi" w:hAnsiTheme="minorHAnsi"/>
          <w:b/>
        </w:rPr>
        <w:t>□</w:t>
      </w:r>
      <w:r w:rsidRPr="00195091">
        <w:rPr>
          <w:rFonts w:asciiTheme="minorHAnsi" w:hAnsiTheme="minorHAnsi"/>
        </w:rPr>
        <w:t xml:space="preserve">  ENG</w:t>
      </w:r>
      <w:r w:rsidRPr="00195091">
        <w:rPr>
          <w:rFonts w:asciiTheme="minorHAnsi" w:hAnsiTheme="minorHAnsi"/>
        </w:rPr>
        <w:tab/>
      </w:r>
      <w:r w:rsidRPr="00195091">
        <w:rPr>
          <w:rFonts w:asciiTheme="minorHAnsi" w:hAnsiTheme="minorHAnsi"/>
        </w:rPr>
        <w:tab/>
      </w:r>
      <w:r w:rsidRPr="00195091">
        <w:rPr>
          <w:rFonts w:asciiTheme="minorHAnsi" w:hAnsiTheme="minorHAnsi"/>
          <w:b/>
        </w:rPr>
        <w:t>□</w:t>
      </w:r>
      <w:r w:rsidRPr="00195091">
        <w:rPr>
          <w:rFonts w:asciiTheme="minorHAnsi" w:hAnsiTheme="minorHAnsi"/>
        </w:rPr>
        <w:t xml:space="preserve">  PAP</w:t>
      </w:r>
      <w:r w:rsidRPr="00195091">
        <w:rPr>
          <w:rFonts w:asciiTheme="minorHAnsi" w:hAnsiTheme="minorHAnsi"/>
        </w:rPr>
        <w:tab/>
      </w:r>
      <w:r w:rsidRPr="00195091">
        <w:rPr>
          <w:rFonts w:asciiTheme="minorHAnsi" w:hAnsiTheme="minorHAnsi"/>
        </w:rPr>
        <w:tab/>
      </w:r>
      <w:r w:rsidRPr="00195091">
        <w:rPr>
          <w:rFonts w:asciiTheme="minorHAnsi" w:hAnsiTheme="minorHAnsi"/>
        </w:rPr>
        <w:tab/>
      </w:r>
      <w:r w:rsidRPr="00195091">
        <w:rPr>
          <w:rFonts w:asciiTheme="minorHAnsi" w:hAnsiTheme="minorHAnsi"/>
        </w:rPr>
        <w:tab/>
      </w:r>
      <w:r w:rsidRPr="00195091">
        <w:rPr>
          <w:rFonts w:asciiTheme="minorHAnsi" w:hAnsiTheme="minorHAnsi"/>
        </w:rPr>
        <w:tab/>
      </w:r>
      <w:r w:rsidRPr="00195091">
        <w:rPr>
          <w:rFonts w:asciiTheme="minorHAnsi" w:hAnsiTheme="minorHAnsi"/>
        </w:rPr>
        <w:tab/>
      </w:r>
      <w:r w:rsidR="00FB2786" w:rsidRPr="00195091">
        <w:rPr>
          <w:rFonts w:asciiTheme="minorHAnsi" w:hAnsiTheme="minorHAnsi"/>
          <w:b/>
        </w:rPr>
        <w:t xml:space="preserve">x </w:t>
      </w:r>
      <w:r w:rsidRPr="00195091">
        <w:rPr>
          <w:rFonts w:asciiTheme="minorHAnsi" w:hAnsiTheme="minorHAnsi"/>
        </w:rPr>
        <w:t xml:space="preserve"> Input</w:t>
      </w:r>
    </w:p>
    <w:p w:rsidR="007F3553" w:rsidRPr="00195091" w:rsidRDefault="00EB5E01" w:rsidP="007F3553">
      <w:pPr>
        <w:pStyle w:val="BodyText"/>
        <w:rPr>
          <w:rFonts w:asciiTheme="minorHAnsi" w:hAnsiTheme="minorHAnsi"/>
        </w:rPr>
      </w:pPr>
      <w:proofErr w:type="gramStart"/>
      <w:r w:rsidRPr="00195091">
        <w:rPr>
          <w:rFonts w:asciiTheme="minorHAnsi" w:hAnsiTheme="minorHAnsi"/>
          <w:b/>
        </w:rPr>
        <w:t>x</w:t>
      </w:r>
      <w:r w:rsidR="00FB2786" w:rsidRPr="00195091">
        <w:rPr>
          <w:rFonts w:asciiTheme="minorHAnsi" w:hAnsiTheme="minorHAnsi"/>
          <w:b/>
        </w:rPr>
        <w:t xml:space="preserve"> </w:t>
      </w:r>
      <w:r w:rsidR="007F3553" w:rsidRPr="00195091">
        <w:rPr>
          <w:rFonts w:asciiTheme="minorHAnsi" w:hAnsiTheme="minorHAnsi"/>
        </w:rPr>
        <w:t xml:space="preserve"> ENAV</w:t>
      </w:r>
      <w:proofErr w:type="gramEnd"/>
      <w:r w:rsidR="007F3553" w:rsidRPr="00195091">
        <w:rPr>
          <w:rFonts w:asciiTheme="minorHAnsi" w:hAnsiTheme="minorHAnsi"/>
        </w:rPr>
        <w:tab/>
      </w:r>
      <w:r w:rsidRPr="00195091">
        <w:rPr>
          <w:rFonts w:asciiTheme="minorHAnsi" w:hAnsiTheme="minorHAnsi"/>
        </w:rPr>
        <w:t xml:space="preserve">               </w:t>
      </w:r>
      <w:r w:rsidR="007F3553" w:rsidRPr="00195091">
        <w:rPr>
          <w:rFonts w:asciiTheme="minorHAnsi" w:hAnsiTheme="minorHAnsi"/>
          <w:b/>
        </w:rPr>
        <w:t>□</w:t>
      </w:r>
      <w:r w:rsidR="007F3553" w:rsidRPr="00195091">
        <w:rPr>
          <w:rFonts w:asciiTheme="minorHAnsi" w:hAnsiTheme="minorHAnsi"/>
        </w:rPr>
        <w:t xml:space="preserve">  VTS</w:t>
      </w:r>
      <w:r w:rsidR="007F3553" w:rsidRPr="00195091">
        <w:rPr>
          <w:rFonts w:asciiTheme="minorHAnsi" w:hAnsiTheme="minorHAnsi"/>
        </w:rPr>
        <w:tab/>
      </w:r>
      <w:r w:rsidR="007F3553" w:rsidRPr="00195091">
        <w:rPr>
          <w:rFonts w:asciiTheme="minorHAnsi" w:hAnsiTheme="minorHAnsi"/>
        </w:rPr>
        <w:tab/>
      </w:r>
      <w:r w:rsidR="007F3553" w:rsidRPr="00195091">
        <w:rPr>
          <w:rFonts w:asciiTheme="minorHAnsi" w:hAnsiTheme="minorHAnsi"/>
        </w:rPr>
        <w:tab/>
      </w:r>
      <w:r w:rsidR="007F3553" w:rsidRPr="00195091">
        <w:rPr>
          <w:rFonts w:asciiTheme="minorHAnsi" w:hAnsiTheme="minorHAnsi"/>
        </w:rPr>
        <w:tab/>
      </w:r>
      <w:r w:rsidR="007F3553" w:rsidRPr="00195091">
        <w:rPr>
          <w:rFonts w:asciiTheme="minorHAnsi" w:hAnsiTheme="minorHAnsi"/>
        </w:rPr>
        <w:tab/>
      </w:r>
      <w:r w:rsidR="007F3553" w:rsidRPr="00195091">
        <w:rPr>
          <w:rFonts w:asciiTheme="minorHAnsi" w:hAnsiTheme="minorHAnsi"/>
        </w:rPr>
        <w:tab/>
      </w:r>
      <w:r w:rsidR="007F3553" w:rsidRPr="00195091">
        <w:rPr>
          <w:rFonts w:asciiTheme="minorHAnsi" w:hAnsiTheme="minorHAnsi"/>
        </w:rPr>
        <w:tab/>
      </w:r>
      <w:r w:rsidR="007F3553" w:rsidRPr="00195091">
        <w:rPr>
          <w:rFonts w:asciiTheme="minorHAnsi" w:hAnsiTheme="minorHAnsi"/>
        </w:rPr>
        <w:tab/>
      </w:r>
      <w:r w:rsidR="00B66211" w:rsidRPr="00195091">
        <w:rPr>
          <w:rFonts w:asciiTheme="minorHAnsi" w:hAnsiTheme="minorHAnsi"/>
          <w:b/>
        </w:rPr>
        <w:t>□</w:t>
      </w:r>
      <w:r w:rsidR="00B66211" w:rsidRPr="00195091">
        <w:rPr>
          <w:rFonts w:asciiTheme="minorHAnsi" w:hAnsiTheme="minorHAnsi"/>
        </w:rPr>
        <w:t xml:space="preserve">  </w:t>
      </w:r>
      <w:r w:rsidR="007F3553" w:rsidRPr="00195091">
        <w:rPr>
          <w:rFonts w:asciiTheme="minorHAnsi" w:hAnsiTheme="minorHAnsi"/>
        </w:rPr>
        <w:t>Information</w:t>
      </w:r>
    </w:p>
    <w:p w:rsidR="007F3553" w:rsidRPr="00195091" w:rsidRDefault="007F3553" w:rsidP="007F3553">
      <w:pPr>
        <w:pStyle w:val="BodyText"/>
        <w:rPr>
          <w:rFonts w:asciiTheme="minorHAnsi" w:hAnsiTheme="minorHAnsi"/>
        </w:rPr>
      </w:pPr>
    </w:p>
    <w:p w:rsidR="007F3553" w:rsidRPr="00195091" w:rsidRDefault="007F3553" w:rsidP="007F3553">
      <w:pPr>
        <w:pStyle w:val="BodyText"/>
        <w:rPr>
          <w:rFonts w:asciiTheme="minorHAnsi" w:hAnsiTheme="minorHAnsi"/>
        </w:rPr>
      </w:pPr>
      <w:r w:rsidRPr="00195091">
        <w:rPr>
          <w:rFonts w:asciiTheme="minorHAnsi" w:hAnsiTheme="minorHAnsi"/>
        </w:rPr>
        <w:t xml:space="preserve">Agenda item </w:t>
      </w:r>
      <w:r w:rsidRPr="00195091">
        <w:rPr>
          <w:rStyle w:val="FootnoteReference"/>
          <w:rFonts w:asciiTheme="minorHAnsi" w:hAnsiTheme="minorHAnsi"/>
          <w:sz w:val="22"/>
          <w:vertAlign w:val="superscript"/>
        </w:rPr>
        <w:footnoteReference w:id="2"/>
      </w:r>
      <w:r w:rsidRPr="00195091">
        <w:rPr>
          <w:rFonts w:asciiTheme="minorHAnsi" w:hAnsiTheme="minorHAnsi"/>
        </w:rPr>
        <w:tab/>
      </w:r>
      <w:r w:rsidRPr="00195091">
        <w:rPr>
          <w:rFonts w:asciiTheme="minorHAnsi" w:hAnsiTheme="minorHAnsi"/>
        </w:rPr>
        <w:tab/>
      </w:r>
      <w:r w:rsidRPr="00195091">
        <w:rPr>
          <w:rFonts w:asciiTheme="minorHAnsi" w:hAnsiTheme="minorHAnsi"/>
        </w:rPr>
        <w:tab/>
      </w:r>
      <w:r w:rsidRPr="00195091">
        <w:rPr>
          <w:rFonts w:asciiTheme="minorHAnsi" w:hAnsiTheme="minorHAnsi"/>
        </w:rPr>
        <w:tab/>
      </w:r>
      <w:r w:rsidR="00FB2786" w:rsidRPr="00195091">
        <w:rPr>
          <w:rFonts w:asciiTheme="minorHAnsi" w:hAnsiTheme="minorHAnsi"/>
        </w:rPr>
        <w:t>11</w:t>
      </w:r>
    </w:p>
    <w:p w:rsidR="007F3553" w:rsidRDefault="007F3553" w:rsidP="007F3553">
      <w:pPr>
        <w:pStyle w:val="BodyText"/>
        <w:rPr>
          <w:rFonts w:asciiTheme="minorHAnsi" w:hAnsiTheme="minorHAnsi"/>
        </w:rPr>
      </w:pPr>
      <w:r w:rsidRPr="00195091">
        <w:rPr>
          <w:rFonts w:asciiTheme="minorHAnsi" w:hAnsiTheme="minorHAnsi"/>
        </w:rPr>
        <w:t xml:space="preserve">Technical Domain / Task Number </w:t>
      </w:r>
      <w:r w:rsidRPr="00195091">
        <w:rPr>
          <w:rFonts w:asciiTheme="minorHAnsi" w:hAnsiTheme="minorHAnsi"/>
          <w:vertAlign w:val="superscript"/>
        </w:rPr>
        <w:t>2</w:t>
      </w:r>
      <w:r w:rsidRPr="00195091">
        <w:rPr>
          <w:rFonts w:asciiTheme="minorHAnsi" w:hAnsiTheme="minorHAnsi"/>
        </w:rPr>
        <w:tab/>
        <w:t>…………………………………</w:t>
      </w:r>
    </w:p>
    <w:p w:rsidR="00F27512" w:rsidRPr="00195091" w:rsidRDefault="00F27512" w:rsidP="007F3553">
      <w:pPr>
        <w:pStyle w:val="BodyText"/>
        <w:rPr>
          <w:rFonts w:asciiTheme="minorHAnsi" w:hAnsiTheme="minorHAnsi"/>
        </w:rPr>
      </w:pPr>
      <w:r>
        <w:rPr>
          <w:rFonts w:asciiTheme="minorHAnsi" w:hAnsiTheme="minorHAnsi"/>
        </w:rPr>
        <w:t>Working Group</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WG3</w:t>
      </w:r>
    </w:p>
    <w:p w:rsidR="00B66211" w:rsidRPr="00195091" w:rsidRDefault="007F3553" w:rsidP="00001303">
      <w:pPr>
        <w:pStyle w:val="BodyText"/>
        <w:tabs>
          <w:tab w:val="left" w:pos="2835"/>
        </w:tabs>
        <w:rPr>
          <w:rFonts w:asciiTheme="minorHAnsi" w:hAnsiTheme="minorHAnsi"/>
        </w:rPr>
      </w:pPr>
      <w:r w:rsidRPr="00195091">
        <w:rPr>
          <w:rFonts w:asciiTheme="minorHAnsi" w:hAnsiTheme="minorHAnsi"/>
        </w:rPr>
        <w:t>Author(s) / Submitter(s)</w:t>
      </w:r>
      <w:r w:rsidRPr="00195091">
        <w:rPr>
          <w:rFonts w:asciiTheme="minorHAnsi" w:hAnsiTheme="minorHAnsi"/>
        </w:rPr>
        <w:tab/>
      </w:r>
      <w:r w:rsidRPr="00195091">
        <w:rPr>
          <w:rFonts w:asciiTheme="minorHAnsi" w:hAnsiTheme="minorHAnsi"/>
        </w:rPr>
        <w:tab/>
      </w:r>
      <w:r w:rsidRPr="00195091">
        <w:rPr>
          <w:rFonts w:asciiTheme="minorHAnsi" w:hAnsiTheme="minorHAnsi"/>
        </w:rPr>
        <w:tab/>
      </w:r>
      <w:r w:rsidR="00FB2786" w:rsidRPr="00195091">
        <w:rPr>
          <w:rFonts w:asciiTheme="minorHAnsi" w:hAnsiTheme="minorHAnsi"/>
        </w:rPr>
        <w:t>Korean Register of Shipping</w:t>
      </w:r>
    </w:p>
    <w:p w:rsidR="007F3553" w:rsidRPr="00195091" w:rsidRDefault="007F3553" w:rsidP="00FB2786">
      <w:pPr>
        <w:pStyle w:val="BodyText"/>
        <w:jc w:val="left"/>
        <w:rPr>
          <w:color w:val="FF0000"/>
          <w:lang w:val="en-US"/>
        </w:rPr>
      </w:pPr>
    </w:p>
    <w:p w:rsidR="00C8603A" w:rsidRPr="00195091" w:rsidRDefault="00C8603A" w:rsidP="00195091">
      <w:pPr>
        <w:pStyle w:val="Title"/>
        <w:rPr>
          <w:rFonts w:ascii="Calibri" w:hAnsi="Calibri"/>
          <w:lang w:val="da-DK" w:eastAsia="ko-KR"/>
        </w:rPr>
      </w:pPr>
      <w:r w:rsidRPr="00195091">
        <w:rPr>
          <w:rFonts w:ascii="Calibri" w:hAnsi="Calibri"/>
          <w:lang w:val="da-DK" w:eastAsia="ko-KR"/>
        </w:rPr>
        <w:t xml:space="preserve">Symbol Transmission in </w:t>
      </w:r>
      <w:r w:rsidRPr="00195091">
        <w:rPr>
          <w:rFonts w:ascii="Calibri" w:hAnsi="Calibri"/>
        </w:rPr>
        <w:t>Ramp</w:t>
      </w:r>
      <w:r w:rsidRPr="00195091">
        <w:rPr>
          <w:rFonts w:ascii="Calibri" w:hAnsi="Calibri"/>
          <w:lang w:val="da-DK" w:eastAsia="ko-KR"/>
        </w:rPr>
        <w:t>-</w:t>
      </w:r>
      <w:r w:rsidRPr="00195091">
        <w:rPr>
          <w:rFonts w:ascii="Calibri" w:hAnsi="Calibri"/>
        </w:rPr>
        <w:t>up</w:t>
      </w:r>
      <w:r w:rsidRPr="00195091">
        <w:rPr>
          <w:rFonts w:ascii="Calibri" w:hAnsi="Calibri"/>
          <w:lang w:val="da-DK" w:eastAsia="ko-KR"/>
        </w:rPr>
        <w:t xml:space="preserve"> period for </w:t>
      </w:r>
      <w:r w:rsidR="00E54079" w:rsidRPr="00195091">
        <w:rPr>
          <w:rFonts w:ascii="Calibri" w:hAnsi="Calibri"/>
          <w:lang w:val="da-DK" w:eastAsia="ko-KR"/>
        </w:rPr>
        <w:t>Receiver AGC settling</w:t>
      </w:r>
    </w:p>
    <w:p w:rsidR="004C1FD5" w:rsidRPr="00195091" w:rsidRDefault="004C1FD5" w:rsidP="004C1FD5">
      <w:pPr>
        <w:rPr>
          <w:rFonts w:ascii="Calibri" w:hAnsi="Calibri"/>
        </w:rPr>
      </w:pPr>
    </w:p>
    <w:p w:rsidR="005377AB" w:rsidRDefault="005377AB" w:rsidP="00FA7294">
      <w:pPr>
        <w:pStyle w:val="Heading1"/>
      </w:pPr>
      <w:r w:rsidRPr="00FA7294">
        <w:rPr>
          <w:rFonts w:hint="eastAsia"/>
        </w:rPr>
        <w:t>SUMMARY</w:t>
      </w:r>
    </w:p>
    <w:p w:rsidR="00E73D06" w:rsidRPr="00B70BBA" w:rsidRDefault="00173661" w:rsidP="00E73D06">
      <w:pPr>
        <w:pStyle w:val="BodyText"/>
        <w:rPr>
          <w:lang w:eastAsia="ko-KR"/>
        </w:rPr>
      </w:pPr>
      <w:r w:rsidRPr="00B70BBA">
        <w:rPr>
          <w:lang w:eastAsia="ko-KR"/>
        </w:rPr>
        <w:t>This proposal is a document prepared to suggest the change of packet structure to perform AGC</w:t>
      </w:r>
      <w:r w:rsidR="000444D7">
        <w:rPr>
          <w:lang w:eastAsia="ko-KR"/>
        </w:rPr>
        <w:t xml:space="preserve"> </w:t>
      </w:r>
      <w:r w:rsidRPr="00B70BBA">
        <w:rPr>
          <w:lang w:eastAsia="ko-KR"/>
        </w:rPr>
        <w:t xml:space="preserve">(Automatic Gain Control) function by analysing the packet detection performance through simulation test based on the packet shown in the standards, and to examine the AGC effect on the received signal and the packet structure of the VDES physical layer. </w:t>
      </w:r>
    </w:p>
    <w:p w:rsidR="00C01F8E" w:rsidRDefault="00173661" w:rsidP="00705573">
      <w:pPr>
        <w:pStyle w:val="BodyText"/>
        <w:rPr>
          <w:lang w:eastAsia="ko-KR"/>
        </w:rPr>
      </w:pPr>
      <w:r w:rsidRPr="00B70BBA">
        <w:rPr>
          <w:lang w:eastAsia="ko-KR"/>
        </w:rPr>
        <w:t>Based on the result of simulation analysis an additional symbol for the AGC is required, which as a method to acquire additional symbol within the scope of recommendation, we propose valid symbol transmission in the ramp-up period, and</w:t>
      </w:r>
      <w:r w:rsidR="00C01F8E" w:rsidRPr="00C01F8E">
        <w:rPr>
          <w:lang w:eastAsia="ko-KR"/>
        </w:rPr>
        <w:t xml:space="preserve"> </w:t>
      </w:r>
      <w:r w:rsidRPr="00B70BBA">
        <w:rPr>
          <w:lang w:eastAsia="ko-KR"/>
        </w:rPr>
        <w:t>a symbol pattern to</w:t>
      </w:r>
      <w:r w:rsidR="005D5DD7" w:rsidRPr="00B70BBA">
        <w:rPr>
          <w:lang w:eastAsia="ko-KR"/>
        </w:rPr>
        <w:t xml:space="preserve"> be transmitted in the ramp-up period</w:t>
      </w:r>
      <w:r w:rsidRPr="00B70BBA">
        <w:rPr>
          <w:lang w:eastAsia="ko-KR"/>
        </w:rPr>
        <w:t xml:space="preserve"> through a similar </w:t>
      </w:r>
      <w:r w:rsidR="00B94BC1" w:rsidRPr="00B70BBA">
        <w:rPr>
          <w:lang w:eastAsia="ko-KR"/>
        </w:rPr>
        <w:t>standards</w:t>
      </w:r>
      <w:r w:rsidRPr="00B70BBA">
        <w:rPr>
          <w:lang w:eastAsia="ko-KR"/>
        </w:rPr>
        <w:t xml:space="preserve"> analysis.</w:t>
      </w:r>
      <w:r w:rsidR="0086146B">
        <w:rPr>
          <w:lang w:eastAsia="ko-KR"/>
        </w:rPr>
        <w:t xml:space="preserve"> </w:t>
      </w:r>
    </w:p>
    <w:p w:rsidR="00CB6024" w:rsidRPr="00A376E8" w:rsidRDefault="00CB6024" w:rsidP="00705573">
      <w:pPr>
        <w:pStyle w:val="BodyText"/>
        <w:rPr>
          <w:lang w:eastAsia="ko-KR"/>
        </w:rPr>
      </w:pPr>
    </w:p>
    <w:p w:rsidR="007F3553" w:rsidRPr="00605E43" w:rsidRDefault="007F3553" w:rsidP="00FA7294">
      <w:pPr>
        <w:pStyle w:val="Heading2"/>
      </w:pPr>
      <w:r w:rsidRPr="00605E43">
        <w:t xml:space="preserve">Purpose </w:t>
      </w:r>
      <w:r w:rsidRPr="00FA7294">
        <w:t>of</w:t>
      </w:r>
      <w:r w:rsidRPr="00605E43">
        <w:t xml:space="preserve"> the document</w:t>
      </w:r>
    </w:p>
    <w:p w:rsidR="008E6032" w:rsidRPr="00B70BBA" w:rsidRDefault="00173661" w:rsidP="0086146B">
      <w:pPr>
        <w:pStyle w:val="BodyText"/>
        <w:rPr>
          <w:lang w:eastAsia="ko-KR"/>
        </w:rPr>
      </w:pPr>
      <w:r w:rsidRPr="00B70BBA">
        <w:rPr>
          <w:lang w:eastAsia="ko-KR"/>
        </w:rPr>
        <w:t>This proposal is to suggest an efficient scheme, within the scope of recommendation, for the performance of AGC function in order to improve performance of frequency synchronization, timing synchronization and packet detection, and to review function of the appropriate receiver for physical-layer packet structure of the ITU-R M.2092 recommendation.</w:t>
      </w:r>
    </w:p>
    <w:p w:rsidR="00BD4599" w:rsidRPr="00B70BBA" w:rsidRDefault="00BD4599" w:rsidP="0000760F">
      <w:pPr>
        <w:pStyle w:val="BodyText"/>
        <w:rPr>
          <w:lang w:eastAsia="ko-KR"/>
        </w:rPr>
      </w:pPr>
    </w:p>
    <w:p w:rsidR="007F3553" w:rsidRPr="007A395D" w:rsidRDefault="007F3553" w:rsidP="00FA7294">
      <w:pPr>
        <w:pStyle w:val="Heading2"/>
      </w:pPr>
      <w:r w:rsidRPr="007A395D">
        <w:t xml:space="preserve">Related </w:t>
      </w:r>
      <w:r w:rsidRPr="00FA7294">
        <w:t>documents</w:t>
      </w:r>
    </w:p>
    <w:p w:rsidR="00BA5998" w:rsidRDefault="00BA5998" w:rsidP="0053532E">
      <w:pPr>
        <w:pStyle w:val="Bullet1"/>
      </w:pPr>
      <w:r w:rsidRPr="0053532E">
        <w:t xml:space="preserve"> </w:t>
      </w:r>
      <w:r w:rsidR="0053532E" w:rsidRPr="0053532E">
        <w:t>Recommendation  ITU-R  M.2092-0+</w:t>
      </w:r>
      <w:r w:rsidR="0053532E" w:rsidRPr="0053532E">
        <w:rPr>
          <w:rFonts w:hint="eastAsia"/>
          <w:lang w:eastAsia="ko-KR"/>
        </w:rPr>
        <w:t xml:space="preserve"> </w:t>
      </w:r>
      <w:r w:rsidR="0053532E" w:rsidRPr="0053532E">
        <w:t>(06/2017)</w:t>
      </w:r>
    </w:p>
    <w:p w:rsidR="00FA7294" w:rsidRPr="0053532E" w:rsidRDefault="00FA7294" w:rsidP="00FA7294">
      <w:pPr>
        <w:pStyle w:val="Bullet1"/>
        <w:numPr>
          <w:ilvl w:val="0"/>
          <w:numId w:val="0"/>
        </w:numPr>
        <w:ind w:left="1134"/>
      </w:pPr>
    </w:p>
    <w:p w:rsidR="007F3553" w:rsidRDefault="007F3553" w:rsidP="00FA7294">
      <w:pPr>
        <w:pStyle w:val="Heading1"/>
      </w:pPr>
      <w:r w:rsidRPr="00FA7294">
        <w:t>Background</w:t>
      </w:r>
    </w:p>
    <w:p w:rsidR="00703E1D" w:rsidRPr="00B70BBA" w:rsidRDefault="00173661" w:rsidP="007C2D1A">
      <w:pPr>
        <w:pStyle w:val="BodyText"/>
        <w:rPr>
          <w:lang w:eastAsia="ko-KR"/>
        </w:rPr>
      </w:pPr>
      <w:r w:rsidRPr="00B70BBA">
        <w:rPr>
          <w:lang w:eastAsia="ko-KR"/>
        </w:rPr>
        <w:t>In the VDES system, ship station and base station modems support TDMA-based multiple access in accordance with ITU-R M.2092 [1] standards, and the required signal is burst-structured.</w:t>
      </w:r>
    </w:p>
    <w:p w:rsidR="00703E1D" w:rsidRDefault="00173661" w:rsidP="007C2D1A">
      <w:pPr>
        <w:pStyle w:val="BodyText"/>
        <w:rPr>
          <w:lang w:eastAsia="ko-KR"/>
        </w:rPr>
      </w:pPr>
      <w:r w:rsidRPr="00B70BBA">
        <w:rPr>
          <w:lang w:eastAsia="ko-KR"/>
        </w:rPr>
        <w:lastRenderedPageBreak/>
        <w:t>The burst signal of the VDES system is called 'packet' and its structure is shown in the following figure</w:t>
      </w:r>
      <w:r w:rsidR="00C86D82">
        <w:rPr>
          <w:lang w:eastAsia="ko-KR"/>
        </w:rPr>
        <w:t xml:space="preserve"> 1</w:t>
      </w:r>
      <w:r w:rsidRPr="00B70BBA">
        <w:rPr>
          <w:lang w:eastAsia="ko-KR"/>
        </w:rPr>
        <w:t>.</w:t>
      </w:r>
    </w:p>
    <w:p w:rsidR="002F5F0A" w:rsidRPr="00567988" w:rsidRDefault="002F5F0A" w:rsidP="007C2D1A">
      <w:pPr>
        <w:pStyle w:val="BodyText"/>
        <w:rPr>
          <w:lang w:eastAsia="ko-KR"/>
        </w:rPr>
      </w:pPr>
    </w:p>
    <w:p w:rsidR="00FA7294" w:rsidRPr="00FA7294" w:rsidRDefault="002F5F0A" w:rsidP="00FA7294">
      <w:pPr>
        <w:pStyle w:val="BodyText"/>
        <w:jc w:val="center"/>
      </w:pPr>
      <w:r w:rsidRPr="00FA7294">
        <w:rPr>
          <w:noProof/>
          <w:lang w:val="en-IE" w:eastAsia="en-IE"/>
        </w:rPr>
        <w:drawing>
          <wp:inline distT="0" distB="0" distL="0" distR="0">
            <wp:extent cx="5753100" cy="2809875"/>
            <wp:effectExtent l="19050" t="0" r="0" b="0"/>
            <wp:docPr id="5"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R11.png"/>
                    <pic:cNvPicPr/>
                  </pic:nvPicPr>
                  <pic:blipFill>
                    <a:blip r:embed="rId8">
                      <a:extLst>
                        <a:ext uri="{28A0092B-C50C-407E-A947-70E740481C1C}">
                          <a14:useLocalDpi xmlns:a14="http://schemas.microsoft.com/office/drawing/2010/main" val="0"/>
                        </a:ext>
                      </a:extLst>
                    </a:blip>
                    <a:stretch>
                      <a:fillRect/>
                    </a:stretch>
                  </pic:blipFill>
                  <pic:spPr>
                    <a:xfrm>
                      <a:off x="0" y="0"/>
                      <a:ext cx="5756400" cy="2808000"/>
                    </a:xfrm>
                    <a:prstGeom prst="rect">
                      <a:avLst/>
                    </a:prstGeom>
                  </pic:spPr>
                </pic:pic>
              </a:graphicData>
            </a:graphic>
          </wp:inline>
        </w:drawing>
      </w:r>
    </w:p>
    <w:p w:rsidR="002F5F0A" w:rsidRDefault="00FA7294" w:rsidP="00FA7294">
      <w:pPr>
        <w:pStyle w:val="Caption"/>
        <w:jc w:val="center"/>
        <w:rPr>
          <w:lang w:eastAsia="ko-KR"/>
        </w:rPr>
      </w:pPr>
      <w:r>
        <w:t xml:space="preserve">Figure </w:t>
      </w:r>
      <w:fldSimple w:instr=" SEQ Figure \* ARABIC ">
        <w:r>
          <w:rPr>
            <w:noProof/>
          </w:rPr>
          <w:t>1</w:t>
        </w:r>
      </w:fldSimple>
      <w:r>
        <w:t xml:space="preserve">. </w:t>
      </w:r>
      <w:r w:rsidRPr="00462A1A">
        <w:t>ASM-TER and VDE-TER General Packet Format</w:t>
      </w:r>
    </w:p>
    <w:p w:rsidR="0027711D" w:rsidRDefault="0027711D" w:rsidP="007C2D1A">
      <w:pPr>
        <w:pStyle w:val="BodyText"/>
        <w:rPr>
          <w:lang w:eastAsia="ko-KR"/>
        </w:rPr>
      </w:pPr>
    </w:p>
    <w:p w:rsidR="00703E1D" w:rsidRDefault="00173661" w:rsidP="007C2D1A">
      <w:pPr>
        <w:pStyle w:val="BodyText"/>
        <w:rPr>
          <w:lang w:eastAsia="ko-KR"/>
        </w:rPr>
      </w:pPr>
      <w:r w:rsidRPr="00B70BBA">
        <w:rPr>
          <w:lang w:eastAsia="ko-KR"/>
        </w:rPr>
        <w:t xml:space="preserve">A packet of the VDES system consists of Ramp-up period, </w:t>
      </w:r>
      <w:proofErr w:type="spellStart"/>
      <w:r w:rsidRPr="00B70BBA">
        <w:rPr>
          <w:lang w:eastAsia="ko-KR"/>
        </w:rPr>
        <w:t>Syncword</w:t>
      </w:r>
      <w:proofErr w:type="spellEnd"/>
      <w:r w:rsidRPr="00B70BBA">
        <w:rPr>
          <w:lang w:eastAsia="ko-KR"/>
        </w:rPr>
        <w:t xml:space="preserve"> symbol</w:t>
      </w:r>
      <w:r w:rsidR="007E7CD3" w:rsidRPr="00B70BBA">
        <w:rPr>
          <w:lang w:eastAsia="ko-KR"/>
        </w:rPr>
        <w:t>s</w:t>
      </w:r>
      <w:r w:rsidRPr="00B70BBA">
        <w:rPr>
          <w:lang w:eastAsia="ko-KR"/>
        </w:rPr>
        <w:t xml:space="preserve">, Link </w:t>
      </w:r>
      <w:proofErr w:type="spellStart"/>
      <w:r w:rsidRPr="00B70BBA">
        <w:rPr>
          <w:lang w:eastAsia="ko-KR"/>
        </w:rPr>
        <w:t>Config</w:t>
      </w:r>
      <w:proofErr w:type="spellEnd"/>
      <w:r w:rsidRPr="00B70BBA">
        <w:rPr>
          <w:lang w:eastAsia="ko-KR"/>
        </w:rPr>
        <w:t xml:space="preserve"> ID symbol</w:t>
      </w:r>
      <w:r w:rsidR="007E7CD3" w:rsidRPr="00B70BBA">
        <w:rPr>
          <w:lang w:eastAsia="ko-KR"/>
        </w:rPr>
        <w:t>s</w:t>
      </w:r>
      <w:r w:rsidRPr="00B70BBA">
        <w:rPr>
          <w:lang w:eastAsia="ko-KR"/>
        </w:rPr>
        <w:t>, Data symbol</w:t>
      </w:r>
      <w:r w:rsidR="002A514C" w:rsidRPr="00B70BBA">
        <w:rPr>
          <w:lang w:eastAsia="ko-KR"/>
        </w:rPr>
        <w:t>s</w:t>
      </w:r>
      <w:r w:rsidRPr="00B70BBA">
        <w:rPr>
          <w:lang w:eastAsia="ko-KR"/>
        </w:rPr>
        <w:t>, Ramp-down period and guard period.</w:t>
      </w:r>
      <w:r w:rsidR="0065583B">
        <w:rPr>
          <w:rFonts w:hint="eastAsia"/>
          <w:lang w:eastAsia="ko-KR"/>
        </w:rPr>
        <w:t xml:space="preserve"> </w:t>
      </w:r>
    </w:p>
    <w:p w:rsidR="000A1CC2" w:rsidRDefault="00173661" w:rsidP="007C2D1A">
      <w:pPr>
        <w:pStyle w:val="BodyText"/>
        <w:rPr>
          <w:lang w:eastAsia="ko-KR"/>
        </w:rPr>
      </w:pPr>
      <w:r w:rsidRPr="00B70BBA">
        <w:rPr>
          <w:lang w:eastAsia="ko-KR"/>
        </w:rPr>
        <w:t xml:space="preserve">The purpose of the first time period of the slot, called the ramp-up, is to provide transmitter power stabilization and receiver AGC settling, which its time period is 0.41 </w:t>
      </w:r>
      <w:proofErr w:type="spellStart"/>
      <w:r w:rsidRPr="00B70BBA">
        <w:rPr>
          <w:lang w:eastAsia="ko-KR"/>
        </w:rPr>
        <w:t>ms.</w:t>
      </w:r>
      <w:proofErr w:type="spellEnd"/>
      <w:r w:rsidR="00E96082" w:rsidRPr="00B70BBA">
        <w:rPr>
          <w:lang w:eastAsia="ko-KR"/>
        </w:rPr>
        <w:t xml:space="preserve"> </w:t>
      </w:r>
      <w:proofErr w:type="spellStart"/>
      <w:r w:rsidRPr="00B70BBA">
        <w:rPr>
          <w:lang w:eastAsia="ko-KR"/>
        </w:rPr>
        <w:t>Syncword</w:t>
      </w:r>
      <w:proofErr w:type="spellEnd"/>
      <w:r w:rsidRPr="00B70BBA">
        <w:rPr>
          <w:lang w:eastAsia="ko-KR"/>
        </w:rPr>
        <w:t xml:space="preserve"> 27 symbols for training sequence are used for AGC, packet detection, time and frequency synchronization in the receiver. The Link Configuration Id 16 symbols define the channel configurations. Ramp-down and guard time periods provide time </w:t>
      </w:r>
      <w:r w:rsidR="00D37F3A" w:rsidRPr="00B70BBA">
        <w:rPr>
          <w:lang w:eastAsia="ko-KR"/>
        </w:rPr>
        <w:t>for</w:t>
      </w:r>
      <w:r w:rsidRPr="00B70BBA">
        <w:rPr>
          <w:lang w:eastAsia="ko-KR"/>
        </w:rPr>
        <w:t xml:space="preserve"> </w:t>
      </w:r>
      <w:r w:rsidR="001F42B1" w:rsidRPr="00B70BBA">
        <w:rPr>
          <w:lang w:eastAsia="ko-KR"/>
        </w:rPr>
        <w:t xml:space="preserve">the </w:t>
      </w:r>
      <w:r w:rsidRPr="00B70BBA">
        <w:rPr>
          <w:lang w:eastAsia="ko-KR"/>
        </w:rPr>
        <w:t>minimiz</w:t>
      </w:r>
      <w:r w:rsidR="00D37F3A" w:rsidRPr="00B70BBA">
        <w:rPr>
          <w:lang w:eastAsia="ko-KR"/>
        </w:rPr>
        <w:t>ation of</w:t>
      </w:r>
      <w:r w:rsidRPr="00B70BBA">
        <w:rPr>
          <w:lang w:eastAsia="ko-KR"/>
        </w:rPr>
        <w:t xml:space="preserve"> inter-packet interference due to delayed signal on radio channels and transmitted RF output etc</w:t>
      </w:r>
      <w:r w:rsidRPr="00611005">
        <w:rPr>
          <w:color w:val="FF0000"/>
          <w:lang w:eastAsia="ko-KR"/>
        </w:rPr>
        <w:t>.</w:t>
      </w:r>
      <w:r w:rsidRPr="00B70BBA">
        <w:rPr>
          <w:lang w:eastAsia="ko-KR"/>
        </w:rPr>
        <w:t xml:space="preserve"> The following table</w:t>
      </w:r>
      <w:r w:rsidR="00C86D82">
        <w:rPr>
          <w:lang w:eastAsia="ko-KR"/>
        </w:rPr>
        <w:t xml:space="preserve"> 1</w:t>
      </w:r>
      <w:r w:rsidRPr="00B70BBA">
        <w:rPr>
          <w:lang w:eastAsia="ko-KR"/>
        </w:rPr>
        <w:t xml:space="preserve"> shows the definition of </w:t>
      </w:r>
      <w:r w:rsidR="003F07FD" w:rsidRPr="00B70BBA">
        <w:rPr>
          <w:rFonts w:hint="eastAsia"/>
          <w:lang w:eastAsia="ko-KR"/>
        </w:rPr>
        <w:t>t</w:t>
      </w:r>
      <w:r w:rsidR="00200B1E" w:rsidRPr="00B70BBA">
        <w:rPr>
          <w:lang w:eastAsia="ko-KR"/>
        </w:rPr>
        <w:t xml:space="preserve">raining </w:t>
      </w:r>
      <w:r w:rsidR="003F07FD" w:rsidRPr="00B70BBA">
        <w:rPr>
          <w:rFonts w:hint="eastAsia"/>
          <w:lang w:eastAsia="ko-KR"/>
        </w:rPr>
        <w:t>s</w:t>
      </w:r>
      <w:r w:rsidR="00F1384B" w:rsidRPr="00B70BBA">
        <w:rPr>
          <w:lang w:eastAsia="ko-KR"/>
        </w:rPr>
        <w:t>equence</w:t>
      </w:r>
      <w:r w:rsidRPr="00B70BBA">
        <w:rPr>
          <w:lang w:eastAsia="ko-KR"/>
        </w:rPr>
        <w:t xml:space="preserve"> 27 symbols </w:t>
      </w:r>
      <w:r w:rsidR="00764CC7" w:rsidRPr="00B70BBA">
        <w:rPr>
          <w:lang w:eastAsia="ko-KR"/>
        </w:rPr>
        <w:t xml:space="preserve">for </w:t>
      </w:r>
      <w:r w:rsidRPr="00B70BBA">
        <w:rPr>
          <w:lang w:eastAsia="ko-KR"/>
        </w:rPr>
        <w:t>synchronization functions.</w:t>
      </w:r>
      <w:r w:rsidR="00165963" w:rsidRPr="00B70BBA">
        <w:rPr>
          <w:lang w:eastAsia="ko-KR"/>
        </w:rPr>
        <w:t xml:space="preserve"> </w:t>
      </w:r>
    </w:p>
    <w:p w:rsidR="00FA7294" w:rsidRPr="00FA7294" w:rsidRDefault="00A61927" w:rsidP="00FA7294">
      <w:pPr>
        <w:pStyle w:val="BodyText"/>
        <w:jc w:val="center"/>
      </w:pPr>
      <w:r w:rsidRPr="00FA7294">
        <w:rPr>
          <w:rFonts w:hint="eastAsia"/>
          <w:noProof/>
          <w:lang w:val="en-IE" w:eastAsia="en-IE"/>
        </w:rPr>
        <w:drawing>
          <wp:inline distT="0" distB="0" distL="0" distR="0">
            <wp:extent cx="5086090" cy="1440000"/>
            <wp:effectExtent l="0" t="0" r="635" b="0"/>
            <wp:docPr id="20"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srcRect t="12174" b="-6715"/>
                    <a:stretch/>
                  </pic:blipFill>
                  <pic:spPr bwMode="auto">
                    <a:xfrm>
                      <a:off x="0" y="0"/>
                      <a:ext cx="5095875" cy="1442770"/>
                    </a:xfrm>
                    <a:prstGeom prst="rect">
                      <a:avLst/>
                    </a:prstGeom>
                    <a:noFill/>
                    <a:ln>
                      <a:noFill/>
                    </a:ln>
                    <a:extLst>
                      <a:ext uri="{53640926-AAD7-44D8-BBD7-CCE9431645EC}">
                        <a14:shadowObscured xmlns:a14="http://schemas.microsoft.com/office/drawing/2010/main"/>
                      </a:ext>
                    </a:extLst>
                  </pic:spPr>
                </pic:pic>
              </a:graphicData>
            </a:graphic>
          </wp:inline>
        </w:drawing>
      </w:r>
    </w:p>
    <w:p w:rsidR="00A61927" w:rsidRDefault="00FA7294" w:rsidP="00FA7294">
      <w:pPr>
        <w:pStyle w:val="Caption"/>
        <w:jc w:val="center"/>
        <w:rPr>
          <w:lang w:eastAsia="ko-KR"/>
        </w:rPr>
      </w:pPr>
      <w:r>
        <w:t xml:space="preserve">Table </w:t>
      </w:r>
      <w:fldSimple w:instr=" SEQ Table \* ARABIC ">
        <w:r>
          <w:rPr>
            <w:noProof/>
          </w:rPr>
          <w:t>1</w:t>
        </w:r>
      </w:fldSimple>
      <w:r>
        <w:t xml:space="preserve">. </w:t>
      </w:r>
      <w:proofErr w:type="spellStart"/>
      <w:r w:rsidRPr="00491A0A">
        <w:t>Syncword</w:t>
      </w:r>
      <w:proofErr w:type="spellEnd"/>
      <w:r w:rsidRPr="00491A0A">
        <w:t xml:space="preserve"> 27 symbols</w:t>
      </w:r>
    </w:p>
    <w:p w:rsidR="00FA7294" w:rsidRDefault="00FA7294" w:rsidP="0096575B">
      <w:pPr>
        <w:pStyle w:val="BodyText"/>
        <w:rPr>
          <w:lang w:eastAsia="ko-KR"/>
        </w:rPr>
      </w:pPr>
    </w:p>
    <w:p w:rsidR="00AE12EF" w:rsidRPr="00B70BBA" w:rsidRDefault="00173661" w:rsidP="0096575B">
      <w:pPr>
        <w:pStyle w:val="BodyText"/>
        <w:rPr>
          <w:lang w:eastAsia="ko-KR"/>
        </w:rPr>
      </w:pPr>
      <w:r w:rsidRPr="00B70BBA">
        <w:rPr>
          <w:lang w:eastAsia="ko-KR"/>
        </w:rPr>
        <w:t xml:space="preserve">In general, coherent receivers for PSK and QAM can achieve ideal demodulation performance by performing PSK and QAM demodulation after signal level stabilization, timing synchronization, and frequency synchronization are carried out. Among them, achieving stabilization of the received signal level should be </w:t>
      </w:r>
      <w:r w:rsidR="009078EA" w:rsidRPr="00B70BBA">
        <w:rPr>
          <w:lang w:eastAsia="ko-KR"/>
        </w:rPr>
        <w:t xml:space="preserve">performed as </w:t>
      </w:r>
      <w:r w:rsidRPr="00B70BBA">
        <w:rPr>
          <w:lang w:eastAsia="ko-KR"/>
        </w:rPr>
        <w:t>first priority to all other synchronizations. A typical receiver of digital radio communication</w:t>
      </w:r>
      <w:r w:rsidRPr="00FB2786">
        <w:rPr>
          <w:highlight w:val="lightGray"/>
          <w:lang w:eastAsia="ko-KR"/>
        </w:rPr>
        <w:t xml:space="preserve"> </w:t>
      </w:r>
      <w:r w:rsidRPr="00B70BBA">
        <w:rPr>
          <w:lang w:eastAsia="ko-KR"/>
        </w:rPr>
        <w:t xml:space="preserve">system converts an </w:t>
      </w:r>
      <w:proofErr w:type="spellStart"/>
      <w:r w:rsidRPr="00B70BBA">
        <w:rPr>
          <w:lang w:eastAsia="ko-KR"/>
        </w:rPr>
        <w:t>analog</w:t>
      </w:r>
      <w:proofErr w:type="spellEnd"/>
      <w:r w:rsidRPr="00B70BBA">
        <w:rPr>
          <w:lang w:eastAsia="ko-KR"/>
        </w:rPr>
        <w:t xml:space="preserve"> signal, such as an IF (Intermediate-Frequency), into a digital signal through an ADC (Analog to Digital Converter), and performs the demodulation function. In this process, the input signal is subject to clipping if the power of the signal input to the ADC is larger than the defined range, and if the received signal is too small, the quantization error becomes large. Both clipping and small signal states distort the received signal, making the degradation factor on the signal-to-noise ratio (SNR).</w:t>
      </w:r>
      <w:r w:rsidR="00971418" w:rsidRPr="00B70BBA">
        <w:rPr>
          <w:lang w:eastAsia="ko-KR"/>
        </w:rPr>
        <w:t xml:space="preserve"> </w:t>
      </w:r>
      <w:r w:rsidRPr="00B70BBA">
        <w:rPr>
          <w:lang w:eastAsia="ko-KR"/>
        </w:rPr>
        <w:t>To effectively solve suc</w:t>
      </w:r>
      <w:r w:rsidR="00E921F0" w:rsidRPr="00B70BBA">
        <w:rPr>
          <w:lang w:eastAsia="ko-KR"/>
        </w:rPr>
        <w:t xml:space="preserve">h </w:t>
      </w:r>
      <w:r w:rsidRPr="00B70BBA">
        <w:rPr>
          <w:lang w:eastAsia="ko-KR"/>
        </w:rPr>
        <w:t>problem, an automatic gain control (AGC)</w:t>
      </w:r>
      <w:r w:rsidR="00EE3311" w:rsidRPr="00B70BBA">
        <w:rPr>
          <w:lang w:eastAsia="ko-KR"/>
        </w:rPr>
        <w:t xml:space="preserve"> for </w:t>
      </w:r>
      <w:r w:rsidR="00967195" w:rsidRPr="00B70BBA">
        <w:rPr>
          <w:lang w:eastAsia="ko-KR"/>
        </w:rPr>
        <w:t>the</w:t>
      </w:r>
      <w:r w:rsidR="00EE3311" w:rsidRPr="00B70BBA">
        <w:rPr>
          <w:lang w:eastAsia="ko-KR"/>
        </w:rPr>
        <w:t xml:space="preserve"> signal level</w:t>
      </w:r>
      <w:r w:rsidRPr="00B70BBA">
        <w:rPr>
          <w:lang w:eastAsia="ko-KR"/>
        </w:rPr>
        <w:t xml:space="preserve"> is used.</w:t>
      </w:r>
      <w:r w:rsidR="00DC36D1" w:rsidRPr="00B70BBA">
        <w:rPr>
          <w:lang w:eastAsia="ko-KR"/>
        </w:rPr>
        <w:t xml:space="preserve"> </w:t>
      </w:r>
    </w:p>
    <w:p w:rsidR="008E0E4D" w:rsidRDefault="008E0E4D" w:rsidP="00147DE0">
      <w:pPr>
        <w:pStyle w:val="BodyText"/>
        <w:rPr>
          <w:lang w:eastAsia="ko-KR"/>
        </w:rPr>
      </w:pPr>
    </w:p>
    <w:p w:rsidR="00147DE0" w:rsidRPr="00CC6DDA" w:rsidRDefault="008E0E4D" w:rsidP="00FA7294">
      <w:pPr>
        <w:pStyle w:val="Heading2"/>
        <w:rPr>
          <w:color w:val="FF0000"/>
          <w:lang w:eastAsia="ko-KR"/>
        </w:rPr>
      </w:pPr>
      <w:r>
        <w:rPr>
          <w:rFonts w:hint="eastAsia"/>
          <w:lang w:eastAsia="ko-KR"/>
        </w:rPr>
        <w:t xml:space="preserve">Usable </w:t>
      </w:r>
      <w:r w:rsidR="00D15545" w:rsidRPr="00FA7294">
        <w:rPr>
          <w:rFonts w:hint="eastAsia"/>
        </w:rPr>
        <w:t>Symbol</w:t>
      </w:r>
      <w:r w:rsidR="00D15545">
        <w:rPr>
          <w:rFonts w:hint="eastAsia"/>
          <w:lang w:eastAsia="ko-KR"/>
        </w:rPr>
        <w:t xml:space="preserve"> of </w:t>
      </w:r>
      <w:r>
        <w:rPr>
          <w:rFonts w:hint="eastAsia"/>
          <w:lang w:eastAsia="ko-KR"/>
        </w:rPr>
        <w:t>Training Sequence for Signal Detection</w:t>
      </w:r>
    </w:p>
    <w:p w:rsidR="00074046" w:rsidRPr="00394F8C" w:rsidRDefault="00173661" w:rsidP="00074046">
      <w:pPr>
        <w:pStyle w:val="BodyText"/>
        <w:rPr>
          <w:lang w:eastAsia="ko-KR"/>
        </w:rPr>
      </w:pPr>
      <w:r w:rsidRPr="00B70BBA">
        <w:rPr>
          <w:lang w:eastAsia="ko-KR"/>
        </w:rPr>
        <w:t>In general, AGC requires certain time to stabilize the output level. If sufficient time for gain convergence is not secured at the AGC process, valid symbols that can be used in the signal detector are reduced.</w:t>
      </w:r>
      <w:r w:rsidR="003F0024" w:rsidRPr="00394F8C">
        <w:rPr>
          <w:lang w:eastAsia="ko-KR"/>
        </w:rPr>
        <w:t xml:space="preserve"> </w:t>
      </w:r>
      <w:r w:rsidRPr="00B70BBA">
        <w:rPr>
          <w:lang w:eastAsia="ko-KR"/>
        </w:rPr>
        <w:t xml:space="preserve">In addition, the valid symbols that can be used in other synchronization functions are also reduced, </w:t>
      </w:r>
      <w:r w:rsidR="00F03204" w:rsidRPr="00B70BBA">
        <w:rPr>
          <w:lang w:eastAsia="ko-KR"/>
        </w:rPr>
        <w:t>which</w:t>
      </w:r>
      <w:r w:rsidRPr="00B70BBA">
        <w:rPr>
          <w:lang w:eastAsia="ko-KR"/>
        </w:rPr>
        <w:t xml:space="preserve"> ideal demodulation performance can’t be expected. Therefore, the AGC must be completed before signal detection and other synchronization functions are </w:t>
      </w:r>
      <w:r w:rsidR="00C00EBD" w:rsidRPr="00B70BBA">
        <w:rPr>
          <w:lang w:eastAsia="ko-KR"/>
        </w:rPr>
        <w:t>performed</w:t>
      </w:r>
      <w:r w:rsidRPr="00B70BBA">
        <w:rPr>
          <w:lang w:eastAsia="ko-KR"/>
        </w:rPr>
        <w:t>.</w:t>
      </w:r>
    </w:p>
    <w:p w:rsidR="009D4BB8" w:rsidRPr="00394F8C" w:rsidRDefault="00173661" w:rsidP="009D4BB8">
      <w:pPr>
        <w:pStyle w:val="BodyText"/>
        <w:rPr>
          <w:lang w:eastAsia="ko-KR"/>
        </w:rPr>
      </w:pPr>
      <w:r w:rsidRPr="00B70BBA">
        <w:rPr>
          <w:lang w:eastAsia="ko-KR"/>
        </w:rPr>
        <w:t xml:space="preserve">'Valid symbol usable in the signal detector' </w:t>
      </w:r>
      <w:r w:rsidR="004D5C72" w:rsidRPr="00B70BBA">
        <w:rPr>
          <w:lang w:eastAsia="ko-KR"/>
        </w:rPr>
        <w:t xml:space="preserve">here </w:t>
      </w:r>
      <w:r w:rsidRPr="00B70BBA">
        <w:rPr>
          <w:lang w:eastAsia="ko-KR"/>
        </w:rPr>
        <w:t xml:space="preserve">means the symbol </w:t>
      </w:r>
      <w:r w:rsidR="00EA07FC" w:rsidRPr="00B70BBA">
        <w:rPr>
          <w:lang w:eastAsia="ko-KR"/>
        </w:rPr>
        <w:t xml:space="preserve">following </w:t>
      </w:r>
      <w:r w:rsidRPr="00B70BBA">
        <w:rPr>
          <w:lang w:eastAsia="ko-KR"/>
        </w:rPr>
        <w:t xml:space="preserve">the </w:t>
      </w:r>
      <w:r w:rsidR="00D455E6" w:rsidRPr="00B70BBA">
        <w:rPr>
          <w:lang w:eastAsia="ko-KR"/>
        </w:rPr>
        <w:t xml:space="preserve">stabilization of </w:t>
      </w:r>
      <w:r w:rsidRPr="00B70BBA">
        <w:rPr>
          <w:lang w:eastAsia="ko-KR"/>
        </w:rPr>
        <w:t>AGC output.</w:t>
      </w:r>
      <w:r w:rsidR="007226F0" w:rsidRPr="00394F8C">
        <w:rPr>
          <w:lang w:eastAsia="ko-KR"/>
        </w:rPr>
        <w:t xml:space="preserve"> </w:t>
      </w:r>
      <w:r w:rsidRPr="00B70BBA">
        <w:rPr>
          <w:lang w:eastAsia="ko-KR"/>
        </w:rPr>
        <w:t>AGC signals prior to stabilization of output can be viewed as clipping or distorted signals with large quantization-error which are not suitable for signal detection.</w:t>
      </w:r>
    </w:p>
    <w:p w:rsidR="00E666C0" w:rsidRPr="00394F8C" w:rsidRDefault="00173661" w:rsidP="00074046">
      <w:pPr>
        <w:pStyle w:val="BodyText"/>
        <w:rPr>
          <w:lang w:eastAsia="ko-KR"/>
        </w:rPr>
      </w:pPr>
      <w:r w:rsidRPr="00B70BBA">
        <w:rPr>
          <w:lang w:eastAsia="ko-KR"/>
        </w:rPr>
        <w:t xml:space="preserve">In addition, in the VDES physical layer </w:t>
      </w:r>
      <w:r w:rsidR="00F26C4A" w:rsidRPr="00B70BBA">
        <w:rPr>
          <w:lang w:eastAsia="ko-KR"/>
        </w:rPr>
        <w:t xml:space="preserve">under the </w:t>
      </w:r>
      <w:r w:rsidRPr="00B70BBA">
        <w:rPr>
          <w:lang w:eastAsia="ko-KR"/>
        </w:rPr>
        <w:t>ITU-R M.2092 recommendation,</w:t>
      </w:r>
      <w:r w:rsidR="00B876DD" w:rsidRPr="00394F8C">
        <w:rPr>
          <w:lang w:eastAsia="ko-KR"/>
        </w:rPr>
        <w:t xml:space="preserve"> </w:t>
      </w:r>
      <w:r w:rsidRPr="00B70BBA">
        <w:rPr>
          <w:lang w:eastAsia="ko-KR"/>
        </w:rPr>
        <w:t>as BW becomes larger, valid symbols of the training sequence usable in the signal detector are reduced.</w:t>
      </w:r>
      <w:r w:rsidR="00B876DD" w:rsidRPr="00394F8C">
        <w:rPr>
          <w:lang w:eastAsia="ko-KR"/>
        </w:rPr>
        <w:t xml:space="preserve"> </w:t>
      </w:r>
      <w:r w:rsidRPr="00B70BBA">
        <w:rPr>
          <w:lang w:eastAsia="ko-KR"/>
        </w:rPr>
        <w:t xml:space="preserve">The reason for the reduction of valid symbols is that the time required to </w:t>
      </w:r>
      <w:proofErr w:type="spellStart"/>
      <w:r w:rsidR="005076CD" w:rsidRPr="00B70BBA">
        <w:rPr>
          <w:lang w:eastAsia="ko-KR"/>
        </w:rPr>
        <w:t>stablize</w:t>
      </w:r>
      <w:proofErr w:type="spellEnd"/>
      <w:r w:rsidRPr="00B70BBA">
        <w:rPr>
          <w:lang w:eastAsia="ko-KR"/>
        </w:rPr>
        <w:t xml:space="preserve"> AGC output is constant,</w:t>
      </w:r>
      <w:r w:rsidR="00B876DD" w:rsidRPr="00394F8C">
        <w:rPr>
          <w:lang w:eastAsia="ko-KR"/>
        </w:rPr>
        <w:t xml:space="preserve"> </w:t>
      </w:r>
      <w:r w:rsidRPr="00B70BBA">
        <w:rPr>
          <w:lang w:eastAsia="ko-KR"/>
        </w:rPr>
        <w:t>while the time period corresponding to the training sequence becomes shorter in the high-speed transmission mode.</w:t>
      </w:r>
      <w:r w:rsidR="00B876DD" w:rsidRPr="00394F8C">
        <w:rPr>
          <w:lang w:eastAsia="ko-KR"/>
        </w:rPr>
        <w:t xml:space="preserve"> </w:t>
      </w:r>
      <w:r w:rsidRPr="00B70BBA">
        <w:rPr>
          <w:lang w:eastAsia="ko-KR"/>
        </w:rPr>
        <w:t>The time corresponding to the valid symbol of the training sequence according to each</w:t>
      </w:r>
      <w:r w:rsidR="004A4623" w:rsidRPr="00B70BBA">
        <w:rPr>
          <w:rFonts w:hint="eastAsia"/>
          <w:lang w:eastAsia="ko-KR"/>
        </w:rPr>
        <w:t xml:space="preserve"> Channel Bandwidth</w:t>
      </w:r>
      <w:r w:rsidRPr="00B70BBA">
        <w:rPr>
          <w:lang w:eastAsia="ko-KR"/>
        </w:rPr>
        <w:t xml:space="preserve"> is as follows.</w:t>
      </w:r>
      <w:r w:rsidR="001F5091" w:rsidRPr="001F5091">
        <w:rPr>
          <w:rFonts w:hint="eastAsia"/>
          <w:lang w:eastAsia="ko-KR"/>
        </w:rPr>
        <w:t xml:space="preserve"> </w:t>
      </w:r>
    </w:p>
    <w:p w:rsidR="00850AD2" w:rsidRPr="009E217E" w:rsidRDefault="00187C0C" w:rsidP="00187C0C">
      <w:pPr>
        <w:ind w:firstLine="720"/>
        <w:rPr>
          <w:rFonts w:ascii="Calibri" w:hAnsi="Calibri"/>
          <w:lang w:eastAsia="ko-KR"/>
        </w:rPr>
      </w:pPr>
      <w:r w:rsidRPr="009E217E">
        <w:rPr>
          <w:rFonts w:ascii="Calibri" w:hAnsi="Calibri" w:hint="eastAsia"/>
          <w:lang w:eastAsia="ko-KR"/>
        </w:rPr>
        <w:t xml:space="preserve">- </w:t>
      </w:r>
      <w:r w:rsidR="00850AD2" w:rsidRPr="009E217E">
        <w:rPr>
          <w:rFonts w:ascii="Calibri" w:hAnsi="Calibri" w:hint="eastAsia"/>
          <w:lang w:eastAsia="ko-KR"/>
        </w:rPr>
        <w:t>ASM</w:t>
      </w:r>
      <w:r w:rsidRPr="009E217E">
        <w:rPr>
          <w:rFonts w:ascii="Calibri" w:hAnsi="Calibri" w:hint="eastAsia"/>
          <w:lang w:eastAsia="ko-KR"/>
        </w:rPr>
        <w:t xml:space="preserve">  </w:t>
      </w:r>
      <w:r w:rsidR="00850AD2" w:rsidRPr="009E217E">
        <w:rPr>
          <w:rFonts w:ascii="Calibri" w:hAnsi="Calibri" w:hint="eastAsia"/>
          <w:lang w:eastAsia="ko-KR"/>
        </w:rPr>
        <w:t xml:space="preserve"> Ch. BW   13kHz 27</w:t>
      </w:r>
      <w:r w:rsidR="00074046">
        <w:rPr>
          <w:rFonts w:ascii="Calibri" w:hAnsi="Calibri"/>
          <w:lang w:eastAsia="ko-KR"/>
        </w:rPr>
        <w:t xml:space="preserve"> </w:t>
      </w:r>
      <w:r w:rsidR="00074046">
        <w:rPr>
          <w:rFonts w:ascii="Calibri" w:hAnsi="Calibri" w:hint="eastAsia"/>
          <w:lang w:eastAsia="ko-KR"/>
        </w:rPr>
        <w:t xml:space="preserve">symbols </w:t>
      </w:r>
      <w:r w:rsidR="00850AD2" w:rsidRPr="009E217E">
        <w:rPr>
          <w:rFonts w:ascii="Calibri" w:hAnsi="Calibri" w:hint="eastAsia"/>
          <w:lang w:eastAsia="ko-KR"/>
        </w:rPr>
        <w:t>@ 9.6ksps</w:t>
      </w:r>
      <w:r w:rsidRPr="009E217E">
        <w:rPr>
          <w:rFonts w:ascii="Calibri" w:hAnsi="Calibri" w:hint="eastAsia"/>
          <w:lang w:eastAsia="ko-KR"/>
        </w:rPr>
        <w:t xml:space="preserve">    = 2.81ms</w:t>
      </w:r>
    </w:p>
    <w:p w:rsidR="00850AD2" w:rsidRPr="009E217E" w:rsidRDefault="00187C0C" w:rsidP="00187C0C">
      <w:pPr>
        <w:ind w:firstLine="720"/>
        <w:rPr>
          <w:rFonts w:ascii="Calibri" w:hAnsi="Calibri"/>
          <w:lang w:eastAsia="ko-KR"/>
        </w:rPr>
      </w:pPr>
      <w:r w:rsidRPr="009E217E">
        <w:rPr>
          <w:rFonts w:ascii="Calibri" w:hAnsi="Calibri" w:hint="eastAsia"/>
          <w:lang w:eastAsia="ko-KR"/>
        </w:rPr>
        <w:t xml:space="preserve">- </w:t>
      </w:r>
      <w:r w:rsidR="00850AD2" w:rsidRPr="009E217E">
        <w:rPr>
          <w:rFonts w:ascii="Calibri" w:hAnsi="Calibri" w:hint="eastAsia"/>
          <w:lang w:eastAsia="ko-KR"/>
        </w:rPr>
        <w:t>VDE-T Ch. BW   25kHz 27</w:t>
      </w:r>
      <w:r w:rsidR="00074046" w:rsidRPr="00074046">
        <w:rPr>
          <w:rFonts w:ascii="Calibri" w:hAnsi="Calibri" w:hint="eastAsia"/>
          <w:lang w:eastAsia="ko-KR"/>
        </w:rPr>
        <w:t xml:space="preserve"> </w:t>
      </w:r>
      <w:r w:rsidR="00074046">
        <w:rPr>
          <w:rFonts w:ascii="Calibri" w:hAnsi="Calibri" w:hint="eastAsia"/>
          <w:lang w:eastAsia="ko-KR"/>
        </w:rPr>
        <w:t xml:space="preserve">symbols </w:t>
      </w:r>
      <w:r w:rsidR="00850AD2" w:rsidRPr="009E217E">
        <w:rPr>
          <w:rFonts w:ascii="Calibri" w:hAnsi="Calibri" w:hint="eastAsia"/>
          <w:lang w:eastAsia="ko-KR"/>
        </w:rPr>
        <w:t>@ 19.2ksps</w:t>
      </w:r>
      <w:r w:rsidRPr="009E217E">
        <w:rPr>
          <w:rFonts w:ascii="Calibri" w:hAnsi="Calibri" w:hint="eastAsia"/>
          <w:lang w:eastAsia="ko-KR"/>
        </w:rPr>
        <w:t xml:space="preserve"> = 1.41ms</w:t>
      </w:r>
    </w:p>
    <w:p w:rsidR="00850AD2" w:rsidRPr="009E217E" w:rsidRDefault="00187C0C" w:rsidP="00187C0C">
      <w:pPr>
        <w:ind w:firstLine="720"/>
        <w:rPr>
          <w:rFonts w:ascii="Calibri" w:hAnsi="Calibri"/>
          <w:lang w:eastAsia="ko-KR"/>
        </w:rPr>
      </w:pPr>
      <w:r w:rsidRPr="009E217E">
        <w:rPr>
          <w:rFonts w:ascii="Calibri" w:hAnsi="Calibri" w:hint="eastAsia"/>
          <w:lang w:eastAsia="ko-KR"/>
        </w:rPr>
        <w:t xml:space="preserve">- </w:t>
      </w:r>
      <w:r w:rsidR="00850AD2" w:rsidRPr="009E217E">
        <w:rPr>
          <w:rFonts w:ascii="Calibri" w:hAnsi="Calibri" w:hint="eastAsia"/>
          <w:lang w:eastAsia="ko-KR"/>
        </w:rPr>
        <w:t>VDE-T Ch. BW   50kHz 27</w:t>
      </w:r>
      <w:r w:rsidR="00074046" w:rsidRPr="00074046">
        <w:rPr>
          <w:rFonts w:ascii="Calibri" w:hAnsi="Calibri" w:hint="eastAsia"/>
          <w:lang w:eastAsia="ko-KR"/>
        </w:rPr>
        <w:t xml:space="preserve"> </w:t>
      </w:r>
      <w:r w:rsidR="00074046">
        <w:rPr>
          <w:rFonts w:ascii="Calibri" w:hAnsi="Calibri" w:hint="eastAsia"/>
          <w:lang w:eastAsia="ko-KR"/>
        </w:rPr>
        <w:t xml:space="preserve">symbols </w:t>
      </w:r>
      <w:r w:rsidR="00850AD2" w:rsidRPr="009E217E">
        <w:rPr>
          <w:rFonts w:ascii="Calibri" w:hAnsi="Calibri" w:hint="eastAsia"/>
          <w:lang w:eastAsia="ko-KR"/>
        </w:rPr>
        <w:t>@ 38.4ksps</w:t>
      </w:r>
      <w:r w:rsidRPr="009E217E">
        <w:rPr>
          <w:rFonts w:ascii="Calibri" w:hAnsi="Calibri" w:hint="eastAsia"/>
          <w:lang w:eastAsia="ko-KR"/>
        </w:rPr>
        <w:t xml:space="preserve"> = 0.70ms</w:t>
      </w:r>
    </w:p>
    <w:p w:rsidR="00850AD2" w:rsidRPr="009E217E" w:rsidRDefault="00187C0C" w:rsidP="00187C0C">
      <w:pPr>
        <w:ind w:firstLine="720"/>
        <w:rPr>
          <w:rFonts w:ascii="Calibri" w:hAnsi="Calibri"/>
          <w:lang w:eastAsia="ko-KR"/>
        </w:rPr>
      </w:pPr>
      <w:r w:rsidRPr="009E217E">
        <w:rPr>
          <w:rFonts w:ascii="Calibri" w:hAnsi="Calibri" w:hint="eastAsia"/>
          <w:lang w:eastAsia="ko-KR"/>
        </w:rPr>
        <w:t xml:space="preserve">- </w:t>
      </w:r>
      <w:r w:rsidR="00850AD2" w:rsidRPr="009E217E">
        <w:rPr>
          <w:rFonts w:ascii="Calibri" w:hAnsi="Calibri" w:hint="eastAsia"/>
          <w:lang w:eastAsia="ko-KR"/>
        </w:rPr>
        <w:t>VDE-T Ch. BW 100kHz 27</w:t>
      </w:r>
      <w:r w:rsidR="00074046" w:rsidRPr="00074046">
        <w:rPr>
          <w:rFonts w:ascii="Calibri" w:hAnsi="Calibri" w:hint="eastAsia"/>
          <w:lang w:eastAsia="ko-KR"/>
        </w:rPr>
        <w:t xml:space="preserve"> </w:t>
      </w:r>
      <w:r w:rsidR="00074046">
        <w:rPr>
          <w:rFonts w:ascii="Calibri" w:hAnsi="Calibri" w:hint="eastAsia"/>
          <w:lang w:eastAsia="ko-KR"/>
        </w:rPr>
        <w:t xml:space="preserve">symbols </w:t>
      </w:r>
      <w:r w:rsidR="00850AD2" w:rsidRPr="009E217E">
        <w:rPr>
          <w:rFonts w:ascii="Calibri" w:hAnsi="Calibri" w:hint="eastAsia"/>
          <w:lang w:eastAsia="ko-KR"/>
        </w:rPr>
        <w:t>@ 76.8ksps</w:t>
      </w:r>
      <w:r w:rsidRPr="009E217E">
        <w:rPr>
          <w:rFonts w:ascii="Calibri" w:hAnsi="Calibri" w:hint="eastAsia"/>
          <w:lang w:eastAsia="ko-KR"/>
        </w:rPr>
        <w:t xml:space="preserve"> = 0.35ms</w:t>
      </w:r>
    </w:p>
    <w:p w:rsidR="00985B6B" w:rsidRPr="00B70BBA" w:rsidRDefault="00985B6B" w:rsidP="008E0E4D">
      <w:pPr>
        <w:pStyle w:val="BodyText"/>
        <w:rPr>
          <w:lang w:eastAsia="ko-KR"/>
        </w:rPr>
      </w:pPr>
    </w:p>
    <w:p w:rsidR="00B876DD" w:rsidRPr="00394F8C" w:rsidRDefault="00173661" w:rsidP="008E0E4D">
      <w:pPr>
        <w:pStyle w:val="BodyText"/>
        <w:rPr>
          <w:lang w:eastAsia="ko-KR"/>
        </w:rPr>
      </w:pPr>
      <w:r w:rsidRPr="00B70BBA">
        <w:rPr>
          <w:lang w:eastAsia="ko-KR"/>
        </w:rPr>
        <w:t>Considering the time required for AGC stabilization in the VDES packet structure,</w:t>
      </w:r>
      <w:r w:rsidR="005D447B" w:rsidRPr="00394F8C">
        <w:rPr>
          <w:lang w:eastAsia="ko-KR"/>
        </w:rPr>
        <w:t xml:space="preserve"> </w:t>
      </w:r>
      <w:r w:rsidRPr="00B70BBA">
        <w:rPr>
          <w:lang w:eastAsia="ko-KR"/>
        </w:rPr>
        <w:t>the number of available training sequences decreases as the transmission rate increases.</w:t>
      </w:r>
    </w:p>
    <w:p w:rsidR="00B876DD" w:rsidRPr="00394F8C" w:rsidRDefault="00173661" w:rsidP="008E0E4D">
      <w:pPr>
        <w:pStyle w:val="BodyText"/>
        <w:rPr>
          <w:lang w:eastAsia="ko-KR"/>
        </w:rPr>
      </w:pPr>
      <w:r w:rsidRPr="00B70BBA">
        <w:rPr>
          <w:lang w:eastAsia="ko-KR"/>
        </w:rPr>
        <w:t>In the next section, performance of packet detection according to the number of training sequences is analysed through simulation tests.</w:t>
      </w:r>
    </w:p>
    <w:p w:rsidR="00985B6B" w:rsidRPr="0046209F" w:rsidRDefault="00985B6B" w:rsidP="008E0E4D">
      <w:pPr>
        <w:pStyle w:val="BodyText"/>
        <w:rPr>
          <w:lang w:eastAsia="ko-KR"/>
        </w:rPr>
      </w:pPr>
    </w:p>
    <w:p w:rsidR="008E0E4D" w:rsidRDefault="008E0E4D" w:rsidP="00FA7294">
      <w:pPr>
        <w:pStyle w:val="Heading2"/>
        <w:rPr>
          <w:lang w:eastAsia="ko-KR"/>
        </w:rPr>
      </w:pPr>
      <w:r>
        <w:rPr>
          <w:rFonts w:hint="eastAsia"/>
          <w:lang w:eastAsia="ko-KR"/>
        </w:rPr>
        <w:t xml:space="preserve">Detection-Performance </w:t>
      </w:r>
      <w:r w:rsidRPr="00FA7294">
        <w:rPr>
          <w:rFonts w:hint="eastAsia"/>
        </w:rPr>
        <w:t>with</w:t>
      </w:r>
      <w:r>
        <w:rPr>
          <w:rFonts w:hint="eastAsia"/>
          <w:lang w:eastAsia="ko-KR"/>
        </w:rPr>
        <w:t xml:space="preserve"> Number of Usable Training Sequence</w:t>
      </w:r>
    </w:p>
    <w:p w:rsidR="00D81643" w:rsidRDefault="00173661" w:rsidP="008E0E4D">
      <w:pPr>
        <w:pStyle w:val="BodyText"/>
        <w:rPr>
          <w:lang w:eastAsia="ko-KR"/>
        </w:rPr>
      </w:pPr>
      <w:r w:rsidRPr="00B70BBA">
        <w:rPr>
          <w:lang w:eastAsia="ko-KR"/>
        </w:rPr>
        <w:t xml:space="preserve">In this section, we analyse detection performance </w:t>
      </w:r>
      <w:r w:rsidR="0058431D" w:rsidRPr="00B70BBA">
        <w:rPr>
          <w:lang w:eastAsia="ko-KR"/>
        </w:rPr>
        <w:t xml:space="preserve">made </w:t>
      </w:r>
      <w:r w:rsidRPr="00B70BBA">
        <w:rPr>
          <w:lang w:eastAsia="ko-KR"/>
        </w:rPr>
        <w:t>by the number of valid symbols used for signal detection.</w:t>
      </w:r>
    </w:p>
    <w:p w:rsidR="00664E24" w:rsidRDefault="00173661" w:rsidP="008E0E4D">
      <w:pPr>
        <w:pStyle w:val="BodyText"/>
        <w:rPr>
          <w:lang w:eastAsia="ko-KR"/>
        </w:rPr>
      </w:pPr>
      <w:r w:rsidRPr="00B70BBA">
        <w:rPr>
          <w:lang w:eastAsia="ko-KR"/>
        </w:rPr>
        <w:t xml:space="preserve">The following signal detection performance is derived by retrieving the maximum correlation-peak between the received signal (range of detection determination: </w:t>
      </w:r>
      <w:r w:rsidRPr="00B70BBA">
        <w:rPr>
          <w:rFonts w:ascii="Cambria Math" w:hAnsi="Cambria Math" w:cs="Cambria Math"/>
          <w:lang w:eastAsia="ko-KR"/>
        </w:rPr>
        <w:t>∓</w:t>
      </w:r>
      <w:r w:rsidRPr="00B70BBA">
        <w:rPr>
          <w:lang w:eastAsia="ko-KR"/>
        </w:rPr>
        <w:t xml:space="preserve">1 sample on 4×fs) and the training sequence and analysed at the SNR corresponding to BER 1.0e-6 for TER-MCS-1.25 (pi⁄4 QPSK, </w:t>
      </w:r>
      <w:r w:rsidR="009165E5" w:rsidRPr="00B70BBA">
        <w:rPr>
          <w:rFonts w:hint="eastAsia"/>
          <w:lang w:eastAsia="ko-KR"/>
        </w:rPr>
        <w:t xml:space="preserve">FEC </w:t>
      </w:r>
      <w:r w:rsidRPr="00B70BBA">
        <w:rPr>
          <w:lang w:eastAsia="ko-KR"/>
        </w:rPr>
        <w:t>Rate:  1⁄2) mode.</w:t>
      </w:r>
    </w:p>
    <w:p w:rsidR="00D81643" w:rsidRDefault="00D81643" w:rsidP="008E0E4D">
      <w:pPr>
        <w:pStyle w:val="BodyText"/>
        <w:rPr>
          <w:lang w:eastAsia="ko-KR"/>
        </w:rPr>
      </w:pPr>
    </w:p>
    <w:p w:rsidR="00FA7294" w:rsidRDefault="008E0E4D" w:rsidP="00FA7294">
      <w:pPr>
        <w:pStyle w:val="BodyText"/>
        <w:keepNext/>
        <w:jc w:val="center"/>
      </w:pPr>
      <w:r>
        <w:rPr>
          <w:noProof/>
          <w:lang w:val="en-IE" w:eastAsia="en-IE"/>
        </w:rPr>
        <w:lastRenderedPageBreak/>
        <w:drawing>
          <wp:inline distT="0" distB="0" distL="0" distR="0">
            <wp:extent cx="3567877" cy="2631831"/>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3576565" cy="2638240"/>
                    </a:xfrm>
                    <a:prstGeom prst="rect">
                      <a:avLst/>
                    </a:prstGeom>
                    <a:noFill/>
                    <a:ln w="9525">
                      <a:noFill/>
                      <a:miter lim="800000"/>
                      <a:headEnd/>
                      <a:tailEnd/>
                    </a:ln>
                  </pic:spPr>
                </pic:pic>
              </a:graphicData>
            </a:graphic>
          </wp:inline>
        </w:drawing>
      </w:r>
    </w:p>
    <w:p w:rsidR="008E0E4D" w:rsidRDefault="00FA7294" w:rsidP="00FA7294">
      <w:pPr>
        <w:pStyle w:val="Caption"/>
        <w:jc w:val="center"/>
      </w:pPr>
      <w:r>
        <w:t xml:space="preserve">Figure </w:t>
      </w:r>
      <w:fldSimple w:instr=" SEQ Figure \* ARABIC ">
        <w:r>
          <w:rPr>
            <w:noProof/>
          </w:rPr>
          <w:t>2</w:t>
        </w:r>
      </w:fldSimple>
      <w:r>
        <w:t xml:space="preserve">. </w:t>
      </w:r>
      <w:r w:rsidRPr="006A06E4">
        <w:t>Detection Probability with Usable Symbol of Training Sequence</w:t>
      </w:r>
    </w:p>
    <w:p w:rsidR="008E0E4D" w:rsidRPr="00FA7294" w:rsidRDefault="008E0E4D" w:rsidP="00FA7294">
      <w:pPr>
        <w:pStyle w:val="BodyText"/>
      </w:pPr>
    </w:p>
    <w:tbl>
      <w:tblPr>
        <w:tblStyle w:val="TableGrid"/>
        <w:tblW w:w="8843" w:type="dxa"/>
        <w:jc w:val="center"/>
        <w:tblLook w:val="04A0" w:firstRow="1" w:lastRow="0" w:firstColumn="1" w:lastColumn="0" w:noHBand="0" w:noVBand="1"/>
      </w:tblPr>
      <w:tblGrid>
        <w:gridCol w:w="2027"/>
        <w:gridCol w:w="2069"/>
        <w:gridCol w:w="2261"/>
        <w:gridCol w:w="2486"/>
      </w:tblGrid>
      <w:tr w:rsidR="008E0E4D" w:rsidTr="00FA7294">
        <w:trPr>
          <w:jc w:val="center"/>
        </w:trPr>
        <w:tc>
          <w:tcPr>
            <w:tcW w:w="2027" w:type="dxa"/>
            <w:vAlign w:val="center"/>
          </w:tcPr>
          <w:p w:rsidR="008E0E4D" w:rsidRDefault="00EF4EA0" w:rsidP="00A87696">
            <w:pPr>
              <w:pStyle w:val="BodyText"/>
              <w:jc w:val="center"/>
              <w:rPr>
                <w:lang w:eastAsia="ko-KR"/>
              </w:rPr>
            </w:pPr>
            <w:r w:rsidRPr="00EF4EA0">
              <w:rPr>
                <w:lang w:eastAsia="ko-KR"/>
              </w:rPr>
              <w:t># of valid symbols</w:t>
            </w:r>
          </w:p>
        </w:tc>
        <w:tc>
          <w:tcPr>
            <w:tcW w:w="2069" w:type="dxa"/>
            <w:vAlign w:val="center"/>
          </w:tcPr>
          <w:p w:rsidR="008E0E4D" w:rsidRDefault="00EF4EA0" w:rsidP="00A87696">
            <w:pPr>
              <w:pStyle w:val="BodyText"/>
              <w:jc w:val="center"/>
              <w:rPr>
                <w:lang w:eastAsia="ko-KR"/>
              </w:rPr>
            </w:pPr>
            <w:r w:rsidRPr="00EF4EA0">
              <w:rPr>
                <w:lang w:eastAsia="ko-KR"/>
              </w:rPr>
              <w:t>signal detection probability</w:t>
            </w:r>
          </w:p>
        </w:tc>
        <w:tc>
          <w:tcPr>
            <w:tcW w:w="2261" w:type="dxa"/>
            <w:vAlign w:val="center"/>
          </w:tcPr>
          <w:p w:rsidR="008E0E4D" w:rsidRDefault="008E0E4D" w:rsidP="00A87696">
            <w:pPr>
              <w:pStyle w:val="BodyText"/>
              <w:jc w:val="center"/>
              <w:rPr>
                <w:lang w:eastAsia="ko-KR"/>
              </w:rPr>
            </w:pPr>
            <w:r>
              <w:rPr>
                <w:rFonts w:hint="eastAsia"/>
                <w:lang w:eastAsia="ko-KR"/>
              </w:rPr>
              <w:t>False Alarm</w:t>
            </w:r>
            <w:r w:rsidR="00EF4EA0" w:rsidRPr="00EF4EA0">
              <w:rPr>
                <w:lang w:eastAsia="ko-KR"/>
              </w:rPr>
              <w:t xml:space="preserve"> probability</w:t>
            </w:r>
          </w:p>
        </w:tc>
        <w:tc>
          <w:tcPr>
            <w:tcW w:w="2486" w:type="dxa"/>
            <w:vAlign w:val="center"/>
          </w:tcPr>
          <w:p w:rsidR="008E0E4D" w:rsidRDefault="00EF4EA0" w:rsidP="00A87696">
            <w:pPr>
              <w:pStyle w:val="BodyText"/>
              <w:jc w:val="center"/>
              <w:rPr>
                <w:lang w:eastAsia="ko-KR"/>
              </w:rPr>
            </w:pPr>
            <w:r>
              <w:rPr>
                <w:rFonts w:hint="eastAsia"/>
                <w:lang w:eastAsia="ko-KR"/>
              </w:rPr>
              <w:t>comment</w:t>
            </w:r>
          </w:p>
        </w:tc>
      </w:tr>
      <w:tr w:rsidR="008E0E4D" w:rsidTr="00FA7294">
        <w:trPr>
          <w:jc w:val="center"/>
        </w:trPr>
        <w:tc>
          <w:tcPr>
            <w:tcW w:w="2027" w:type="dxa"/>
            <w:vAlign w:val="center"/>
          </w:tcPr>
          <w:p w:rsidR="008E0E4D" w:rsidRDefault="008E0E4D" w:rsidP="00A87696">
            <w:pPr>
              <w:pStyle w:val="BodyText"/>
              <w:jc w:val="center"/>
              <w:rPr>
                <w:lang w:eastAsia="ko-KR"/>
              </w:rPr>
            </w:pPr>
            <w:r>
              <w:rPr>
                <w:rFonts w:hint="eastAsia"/>
                <w:lang w:eastAsia="ko-KR"/>
              </w:rPr>
              <w:t>21</w:t>
            </w:r>
          </w:p>
        </w:tc>
        <w:tc>
          <w:tcPr>
            <w:tcW w:w="2069" w:type="dxa"/>
            <w:vAlign w:val="center"/>
          </w:tcPr>
          <w:p w:rsidR="008E0E4D" w:rsidRDefault="008E0E4D" w:rsidP="00A87696">
            <w:pPr>
              <w:pStyle w:val="BodyText"/>
              <w:jc w:val="center"/>
              <w:rPr>
                <w:lang w:eastAsia="ko-KR"/>
              </w:rPr>
            </w:pPr>
            <w:r>
              <w:rPr>
                <w:rFonts w:hint="eastAsia"/>
                <w:lang w:eastAsia="ko-KR"/>
              </w:rPr>
              <w:t>98.6%</w:t>
            </w:r>
          </w:p>
        </w:tc>
        <w:tc>
          <w:tcPr>
            <w:tcW w:w="2261" w:type="dxa"/>
            <w:vAlign w:val="center"/>
          </w:tcPr>
          <w:p w:rsidR="008E0E4D" w:rsidRDefault="008E0E4D" w:rsidP="00A87696">
            <w:pPr>
              <w:pStyle w:val="BodyText"/>
              <w:jc w:val="center"/>
              <w:rPr>
                <w:lang w:eastAsia="ko-KR"/>
              </w:rPr>
            </w:pPr>
            <w:r>
              <w:rPr>
                <w:rFonts w:hint="eastAsia"/>
                <w:lang w:eastAsia="ko-KR"/>
              </w:rPr>
              <w:t>1.4%</w:t>
            </w:r>
          </w:p>
        </w:tc>
        <w:tc>
          <w:tcPr>
            <w:tcW w:w="2486" w:type="dxa"/>
            <w:vMerge w:val="restart"/>
            <w:vAlign w:val="center"/>
          </w:tcPr>
          <w:p w:rsidR="008E0E4D" w:rsidRPr="005F4455" w:rsidRDefault="008E0E4D" w:rsidP="00A87696">
            <w:pPr>
              <w:pStyle w:val="BodyText"/>
              <w:jc w:val="left"/>
              <w:rPr>
                <w:lang w:eastAsia="ko-KR"/>
              </w:rPr>
            </w:pPr>
            <w:r>
              <w:rPr>
                <w:rFonts w:hint="eastAsia"/>
                <w:lang w:eastAsia="ko-KR"/>
              </w:rPr>
              <w:t>*</w:t>
            </w:r>
            <w:r w:rsidR="00EF4EA0" w:rsidRPr="00664E24">
              <w:rPr>
                <w:lang w:eastAsia="ko-KR"/>
              </w:rPr>
              <w:t xml:space="preserve"> range of detection determination</w:t>
            </w:r>
            <w:r>
              <w:rPr>
                <w:lang w:eastAsia="ko-KR"/>
              </w:rPr>
              <w:br/>
            </w:r>
            <w:r>
              <w:rPr>
                <w:rFonts w:hint="eastAsia"/>
                <w:lang w:eastAsia="ko-KR"/>
              </w:rPr>
              <w:t>: [-1</w:t>
            </w:r>
            <w:r w:rsidRPr="005F4455">
              <w:rPr>
                <w:lang w:eastAsia="ko-KR"/>
              </w:rPr>
              <w:t>,</w:t>
            </w:r>
            <w:r>
              <w:rPr>
                <w:lang w:eastAsia="ko-KR"/>
              </w:rPr>
              <w:t xml:space="preserve"> </w:t>
            </w:r>
            <w:r>
              <w:rPr>
                <w:rFonts w:hint="eastAsia"/>
                <w:lang w:eastAsia="ko-KR"/>
              </w:rPr>
              <w:t>+</w:t>
            </w:r>
            <w:r w:rsidRPr="005F4455">
              <w:rPr>
                <w:lang w:eastAsia="ko-KR"/>
              </w:rPr>
              <w:t>1</w:t>
            </w:r>
            <w:r>
              <w:rPr>
                <w:rFonts w:hint="eastAsia"/>
                <w:lang w:eastAsia="ko-KR"/>
              </w:rPr>
              <w:t>]</w:t>
            </w:r>
            <w:r w:rsidRPr="005F4455">
              <w:rPr>
                <w:lang w:eastAsia="ko-KR"/>
              </w:rPr>
              <w:t xml:space="preserve"> sample on 4*fs</w:t>
            </w:r>
            <w:r>
              <w:rPr>
                <w:rFonts w:hint="eastAsia"/>
                <w:lang w:eastAsia="ko-KR"/>
              </w:rPr>
              <w:br/>
              <w:t xml:space="preserve">               (fs: symbol rate</w:t>
            </w:r>
            <w:r w:rsidRPr="005F4455">
              <w:rPr>
                <w:lang w:eastAsia="ko-KR"/>
              </w:rPr>
              <w:t>)</w:t>
            </w:r>
          </w:p>
        </w:tc>
      </w:tr>
      <w:tr w:rsidR="008E0E4D" w:rsidTr="00FA7294">
        <w:trPr>
          <w:jc w:val="center"/>
        </w:trPr>
        <w:tc>
          <w:tcPr>
            <w:tcW w:w="2027" w:type="dxa"/>
            <w:vAlign w:val="center"/>
          </w:tcPr>
          <w:p w:rsidR="008E0E4D" w:rsidRDefault="008E0E4D" w:rsidP="00A87696">
            <w:pPr>
              <w:pStyle w:val="BodyText"/>
              <w:jc w:val="center"/>
              <w:rPr>
                <w:lang w:eastAsia="ko-KR"/>
              </w:rPr>
            </w:pPr>
            <w:r>
              <w:rPr>
                <w:rFonts w:hint="eastAsia"/>
                <w:lang w:eastAsia="ko-KR"/>
              </w:rPr>
              <w:t>23</w:t>
            </w:r>
          </w:p>
        </w:tc>
        <w:tc>
          <w:tcPr>
            <w:tcW w:w="2069" w:type="dxa"/>
            <w:vAlign w:val="center"/>
          </w:tcPr>
          <w:p w:rsidR="008E0E4D" w:rsidRDefault="008E0E4D" w:rsidP="00A87696">
            <w:pPr>
              <w:pStyle w:val="BodyText"/>
              <w:jc w:val="center"/>
              <w:rPr>
                <w:lang w:eastAsia="ko-KR"/>
              </w:rPr>
            </w:pPr>
            <w:r>
              <w:rPr>
                <w:rFonts w:hint="eastAsia"/>
                <w:lang w:eastAsia="ko-KR"/>
              </w:rPr>
              <w:t>99%</w:t>
            </w:r>
          </w:p>
        </w:tc>
        <w:tc>
          <w:tcPr>
            <w:tcW w:w="2261" w:type="dxa"/>
            <w:vAlign w:val="center"/>
          </w:tcPr>
          <w:p w:rsidR="008E0E4D" w:rsidRDefault="008E0E4D" w:rsidP="00A87696">
            <w:pPr>
              <w:pStyle w:val="BodyText"/>
              <w:jc w:val="center"/>
              <w:rPr>
                <w:lang w:eastAsia="ko-KR"/>
              </w:rPr>
            </w:pPr>
            <w:r>
              <w:rPr>
                <w:rFonts w:hint="eastAsia"/>
                <w:lang w:eastAsia="ko-KR"/>
              </w:rPr>
              <w:t>1%</w:t>
            </w:r>
          </w:p>
        </w:tc>
        <w:tc>
          <w:tcPr>
            <w:tcW w:w="2486" w:type="dxa"/>
            <w:vMerge/>
            <w:vAlign w:val="center"/>
          </w:tcPr>
          <w:p w:rsidR="008E0E4D" w:rsidRDefault="008E0E4D" w:rsidP="00A87696">
            <w:pPr>
              <w:pStyle w:val="BodyText"/>
              <w:jc w:val="center"/>
              <w:rPr>
                <w:lang w:eastAsia="ko-KR"/>
              </w:rPr>
            </w:pPr>
          </w:p>
        </w:tc>
      </w:tr>
      <w:tr w:rsidR="008E0E4D" w:rsidTr="00FA7294">
        <w:trPr>
          <w:jc w:val="center"/>
        </w:trPr>
        <w:tc>
          <w:tcPr>
            <w:tcW w:w="2027" w:type="dxa"/>
            <w:vAlign w:val="center"/>
          </w:tcPr>
          <w:p w:rsidR="008E0E4D" w:rsidRDefault="008E0E4D" w:rsidP="00A87696">
            <w:pPr>
              <w:pStyle w:val="BodyText"/>
              <w:jc w:val="center"/>
              <w:rPr>
                <w:lang w:eastAsia="ko-KR"/>
              </w:rPr>
            </w:pPr>
            <w:r>
              <w:rPr>
                <w:rFonts w:hint="eastAsia"/>
                <w:lang w:eastAsia="ko-KR"/>
              </w:rPr>
              <w:t>25</w:t>
            </w:r>
          </w:p>
        </w:tc>
        <w:tc>
          <w:tcPr>
            <w:tcW w:w="2069" w:type="dxa"/>
            <w:vAlign w:val="center"/>
          </w:tcPr>
          <w:p w:rsidR="008E0E4D" w:rsidRDefault="008E0E4D" w:rsidP="00A87696">
            <w:pPr>
              <w:pStyle w:val="BodyText"/>
              <w:jc w:val="center"/>
              <w:rPr>
                <w:lang w:eastAsia="ko-KR"/>
              </w:rPr>
            </w:pPr>
            <w:r>
              <w:rPr>
                <w:rFonts w:hint="eastAsia"/>
                <w:lang w:eastAsia="ko-KR"/>
              </w:rPr>
              <w:t>99.6%</w:t>
            </w:r>
          </w:p>
        </w:tc>
        <w:tc>
          <w:tcPr>
            <w:tcW w:w="2261" w:type="dxa"/>
            <w:vAlign w:val="center"/>
          </w:tcPr>
          <w:p w:rsidR="008E0E4D" w:rsidRDefault="008E0E4D" w:rsidP="00A87696">
            <w:pPr>
              <w:pStyle w:val="BodyText"/>
              <w:jc w:val="center"/>
              <w:rPr>
                <w:lang w:eastAsia="ko-KR"/>
              </w:rPr>
            </w:pPr>
            <w:r>
              <w:rPr>
                <w:rFonts w:hint="eastAsia"/>
                <w:lang w:eastAsia="ko-KR"/>
              </w:rPr>
              <w:t>0.4%</w:t>
            </w:r>
          </w:p>
        </w:tc>
        <w:tc>
          <w:tcPr>
            <w:tcW w:w="2486" w:type="dxa"/>
            <w:vMerge/>
            <w:vAlign w:val="center"/>
          </w:tcPr>
          <w:p w:rsidR="008E0E4D" w:rsidRDefault="008E0E4D" w:rsidP="00A87696">
            <w:pPr>
              <w:pStyle w:val="BodyText"/>
              <w:jc w:val="center"/>
              <w:rPr>
                <w:lang w:eastAsia="ko-KR"/>
              </w:rPr>
            </w:pPr>
          </w:p>
        </w:tc>
      </w:tr>
      <w:tr w:rsidR="008E0E4D" w:rsidTr="00FA7294">
        <w:trPr>
          <w:jc w:val="center"/>
        </w:trPr>
        <w:tc>
          <w:tcPr>
            <w:tcW w:w="2027" w:type="dxa"/>
            <w:vAlign w:val="center"/>
          </w:tcPr>
          <w:p w:rsidR="008E0E4D" w:rsidRDefault="008E0E4D" w:rsidP="00A87696">
            <w:pPr>
              <w:pStyle w:val="BodyText"/>
              <w:jc w:val="center"/>
              <w:rPr>
                <w:lang w:eastAsia="ko-KR"/>
              </w:rPr>
            </w:pPr>
            <w:r>
              <w:rPr>
                <w:rFonts w:hint="eastAsia"/>
                <w:lang w:eastAsia="ko-KR"/>
              </w:rPr>
              <w:t>27</w:t>
            </w:r>
          </w:p>
        </w:tc>
        <w:tc>
          <w:tcPr>
            <w:tcW w:w="2069" w:type="dxa"/>
            <w:vAlign w:val="center"/>
          </w:tcPr>
          <w:p w:rsidR="008E0E4D" w:rsidRDefault="008E0E4D" w:rsidP="00A87696">
            <w:pPr>
              <w:pStyle w:val="BodyText"/>
              <w:jc w:val="center"/>
              <w:rPr>
                <w:lang w:eastAsia="ko-KR"/>
              </w:rPr>
            </w:pPr>
            <w:r>
              <w:rPr>
                <w:rFonts w:hint="eastAsia"/>
                <w:lang w:eastAsia="ko-KR"/>
              </w:rPr>
              <w:t>100%</w:t>
            </w:r>
          </w:p>
        </w:tc>
        <w:tc>
          <w:tcPr>
            <w:tcW w:w="2261" w:type="dxa"/>
            <w:vAlign w:val="center"/>
          </w:tcPr>
          <w:p w:rsidR="008E0E4D" w:rsidRDefault="008E0E4D" w:rsidP="00A87696">
            <w:pPr>
              <w:pStyle w:val="BodyText"/>
              <w:jc w:val="center"/>
              <w:rPr>
                <w:lang w:eastAsia="ko-KR"/>
              </w:rPr>
            </w:pPr>
            <w:r>
              <w:rPr>
                <w:rFonts w:hint="eastAsia"/>
                <w:lang w:eastAsia="ko-KR"/>
              </w:rPr>
              <w:t>0%</w:t>
            </w:r>
          </w:p>
        </w:tc>
        <w:tc>
          <w:tcPr>
            <w:tcW w:w="2486" w:type="dxa"/>
            <w:vMerge/>
            <w:vAlign w:val="center"/>
          </w:tcPr>
          <w:p w:rsidR="008E0E4D" w:rsidRDefault="008E0E4D" w:rsidP="00FA7294">
            <w:pPr>
              <w:pStyle w:val="BodyText"/>
              <w:keepNext/>
              <w:jc w:val="center"/>
              <w:rPr>
                <w:lang w:eastAsia="ko-KR"/>
              </w:rPr>
            </w:pPr>
          </w:p>
        </w:tc>
      </w:tr>
    </w:tbl>
    <w:p w:rsidR="00FA7294" w:rsidRDefault="00FA7294" w:rsidP="00FA7294">
      <w:pPr>
        <w:pStyle w:val="Caption"/>
        <w:jc w:val="center"/>
      </w:pPr>
    </w:p>
    <w:p w:rsidR="008E0E4D" w:rsidRDefault="00FA7294" w:rsidP="00FA7294">
      <w:pPr>
        <w:pStyle w:val="Caption"/>
        <w:jc w:val="center"/>
        <w:rPr>
          <w:lang w:eastAsia="ko-KR"/>
        </w:rPr>
      </w:pPr>
      <w:r>
        <w:t xml:space="preserve">Table </w:t>
      </w:r>
      <w:fldSimple w:instr=" SEQ Table \* ARABIC ">
        <w:r>
          <w:rPr>
            <w:noProof/>
          </w:rPr>
          <w:t>2</w:t>
        </w:r>
      </w:fldSimple>
      <w:r>
        <w:t xml:space="preserve">. </w:t>
      </w:r>
      <w:r w:rsidRPr="00004D27">
        <w:t>Detection Probability with Usable Symbol of Training Sequence</w:t>
      </w:r>
    </w:p>
    <w:p w:rsidR="00FA7294" w:rsidRDefault="00FA7294" w:rsidP="004B767A">
      <w:pPr>
        <w:pStyle w:val="BodyText"/>
        <w:rPr>
          <w:lang w:eastAsia="ko-KR"/>
        </w:rPr>
      </w:pPr>
    </w:p>
    <w:p w:rsidR="00A85650" w:rsidRDefault="00173661" w:rsidP="004B767A">
      <w:pPr>
        <w:pStyle w:val="BodyText"/>
        <w:rPr>
          <w:lang w:eastAsia="ko-KR"/>
        </w:rPr>
      </w:pPr>
      <w:r w:rsidRPr="00B70BBA">
        <w:rPr>
          <w:lang w:eastAsia="ko-KR"/>
        </w:rPr>
        <w:t>As a result of the signal detection performance analysis, it is confirmed that the detection performance is reduced by about approximately 0.2 to 0.25% whenever the valid symbols usable for detection decrease by one.</w:t>
      </w:r>
      <w:r w:rsidR="00F01E97">
        <w:rPr>
          <w:lang w:eastAsia="ko-KR"/>
        </w:rPr>
        <w:t xml:space="preserve"> </w:t>
      </w:r>
      <w:r w:rsidRPr="00B70BBA">
        <w:rPr>
          <w:lang w:eastAsia="ko-KR"/>
        </w:rPr>
        <w:t>This detection probability degradation may be more severely affected by frequency offset, fadin</w:t>
      </w:r>
      <w:r w:rsidR="00FA7294">
        <w:rPr>
          <w:lang w:eastAsia="ko-KR"/>
        </w:rPr>
        <w:t>g channel effects, Doppler etc.</w:t>
      </w:r>
    </w:p>
    <w:p w:rsidR="00A85650" w:rsidRPr="00060243" w:rsidRDefault="00A85650" w:rsidP="004B767A">
      <w:pPr>
        <w:pStyle w:val="BodyText"/>
        <w:rPr>
          <w:lang w:eastAsia="ko-KR"/>
        </w:rPr>
      </w:pPr>
    </w:p>
    <w:p w:rsidR="004B767A" w:rsidRDefault="004B767A" w:rsidP="00FA7294">
      <w:pPr>
        <w:pStyle w:val="Heading1"/>
      </w:pPr>
      <w:r w:rsidRPr="00FA7294">
        <w:rPr>
          <w:rFonts w:hint="eastAsia"/>
        </w:rPr>
        <w:t>Suggestion</w:t>
      </w:r>
    </w:p>
    <w:p w:rsidR="005830AE" w:rsidRDefault="00173661" w:rsidP="00A84A32">
      <w:pPr>
        <w:pStyle w:val="BodyText"/>
        <w:rPr>
          <w:lang w:eastAsia="ko-KR"/>
        </w:rPr>
      </w:pPr>
      <w:r w:rsidRPr="00B70BBA">
        <w:rPr>
          <w:lang w:eastAsia="ko-KR"/>
        </w:rPr>
        <w:t xml:space="preserve">The fundamental reason why the number of symbols that can be used for signal detection among the training sequences received from the VDES receiver is reduced is because the training sequence is the only signal that can be used for AGC. In this proposal as a solution to this signal structure problem, we propose valid symbols transmission in Ramp-up period so that AGC can utilize Ramp-up period of </w:t>
      </w:r>
      <w:r w:rsidR="00E31227" w:rsidRPr="00B70BBA">
        <w:rPr>
          <w:lang w:eastAsia="ko-KR"/>
        </w:rPr>
        <w:t xml:space="preserve">the </w:t>
      </w:r>
      <w:r w:rsidRPr="00B70BBA">
        <w:rPr>
          <w:lang w:eastAsia="ko-KR"/>
        </w:rPr>
        <w:t>packet structure.</w:t>
      </w:r>
    </w:p>
    <w:p w:rsidR="0096575B" w:rsidRDefault="0096575B" w:rsidP="0096575B">
      <w:pPr>
        <w:pStyle w:val="BodyText"/>
        <w:rPr>
          <w:lang w:eastAsia="ko-KR"/>
        </w:rPr>
      </w:pPr>
    </w:p>
    <w:p w:rsidR="0096575B" w:rsidRDefault="00A87696" w:rsidP="0096575B">
      <w:pPr>
        <w:pStyle w:val="Heading1"/>
        <w:numPr>
          <w:ilvl w:val="0"/>
          <w:numId w:val="14"/>
        </w:numPr>
        <w:jc w:val="both"/>
        <w:rPr>
          <w:lang w:eastAsia="ko-KR"/>
        </w:rPr>
      </w:pPr>
      <w:r>
        <w:rPr>
          <w:rFonts w:hint="eastAsia"/>
          <w:lang w:eastAsia="ko-KR"/>
        </w:rPr>
        <w:t xml:space="preserve">Symbols in Ramp-up Period &amp; </w:t>
      </w:r>
      <w:r w:rsidR="00B22901">
        <w:rPr>
          <w:rFonts w:hint="eastAsia"/>
          <w:lang w:eastAsia="ko-KR"/>
        </w:rPr>
        <w:t>S</w:t>
      </w:r>
      <w:r w:rsidR="00B22901">
        <w:rPr>
          <w:lang w:eastAsia="ko-KR"/>
        </w:rPr>
        <w:t xml:space="preserve">IMILAR </w:t>
      </w:r>
      <w:r w:rsidR="0096575B">
        <w:rPr>
          <w:rFonts w:hint="eastAsia"/>
          <w:lang w:eastAsia="ko-KR"/>
        </w:rPr>
        <w:t>standards</w:t>
      </w:r>
    </w:p>
    <w:p w:rsidR="00694E13" w:rsidRDefault="00173661" w:rsidP="003322A2">
      <w:pPr>
        <w:pStyle w:val="BodyText"/>
        <w:rPr>
          <w:lang w:eastAsia="ko-KR"/>
        </w:rPr>
      </w:pPr>
      <w:r w:rsidRPr="00B70BBA">
        <w:rPr>
          <w:lang w:eastAsia="ko-KR"/>
        </w:rPr>
        <w:t>This section describes similar standards that have a burst structure and transmit valid symbols in the Ramp-up period,</w:t>
      </w:r>
      <w:r w:rsidR="00694E13" w:rsidRPr="00694E13">
        <w:rPr>
          <w:lang w:eastAsia="ko-KR"/>
        </w:rPr>
        <w:t xml:space="preserve"> </w:t>
      </w:r>
      <w:r w:rsidRPr="00B70BBA">
        <w:rPr>
          <w:lang w:eastAsia="ko-KR"/>
        </w:rPr>
        <w:t>and proposes a Ramp-Up symbol patterns suitable for the VDES physical layer.</w:t>
      </w:r>
    </w:p>
    <w:p w:rsidR="00517CF2" w:rsidRDefault="00173661" w:rsidP="00A87696">
      <w:pPr>
        <w:pStyle w:val="BodyText"/>
        <w:rPr>
          <w:lang w:eastAsia="ko-KR"/>
        </w:rPr>
      </w:pPr>
      <w:r w:rsidRPr="00B70BBA">
        <w:rPr>
          <w:lang w:eastAsia="ko-KR"/>
        </w:rPr>
        <w:t xml:space="preserve">For the specification of burst structure similar to the VDES physical layer signal specification, there </w:t>
      </w:r>
      <w:r w:rsidR="00103326" w:rsidRPr="00B70BBA">
        <w:rPr>
          <w:lang w:eastAsia="ko-KR"/>
        </w:rPr>
        <w:t xml:space="preserve">is a </w:t>
      </w:r>
      <w:r w:rsidR="00DB540A" w:rsidRPr="00B70BBA">
        <w:rPr>
          <w:lang w:eastAsia="ko-KR"/>
        </w:rPr>
        <w:t xml:space="preserve"> </w:t>
      </w:r>
      <w:r w:rsidRPr="00B70BBA">
        <w:rPr>
          <w:lang w:eastAsia="ko-KR"/>
        </w:rPr>
        <w:t xml:space="preserve"> standard for the VHF Data Link (VDL) physical layer, which is a digital radio link used for communications between aircraft and ground stations [2], and a standard for the physical layer of Satellite Earth Stations and Systems [3]. Each standard specifies a certain pattern transmission for Ramp-up time period so that it can be used for receiving process</w:t>
      </w:r>
      <w:r w:rsidR="006C2C54" w:rsidRPr="00B70BBA">
        <w:rPr>
          <w:lang w:eastAsia="ko-KR"/>
        </w:rPr>
        <w:t>ing</w:t>
      </w:r>
      <w:r w:rsidRPr="00B70BBA">
        <w:rPr>
          <w:lang w:eastAsia="ko-KR"/>
        </w:rPr>
        <w:t xml:space="preserve"> of AGC etc.</w:t>
      </w:r>
    </w:p>
    <w:p w:rsidR="00517CF2" w:rsidRPr="00463EB3" w:rsidRDefault="00517CF2" w:rsidP="00A87696">
      <w:pPr>
        <w:pStyle w:val="BodyText"/>
        <w:rPr>
          <w:lang w:eastAsia="ko-KR"/>
        </w:rPr>
      </w:pPr>
    </w:p>
    <w:p w:rsidR="0096575B" w:rsidRDefault="0096575B" w:rsidP="0096575B">
      <w:pPr>
        <w:pStyle w:val="Heading2"/>
        <w:numPr>
          <w:ilvl w:val="1"/>
          <w:numId w:val="14"/>
        </w:numPr>
        <w:rPr>
          <w:lang w:eastAsia="ko-KR"/>
        </w:rPr>
      </w:pPr>
      <w:r>
        <w:rPr>
          <w:rFonts w:hint="eastAsia"/>
          <w:lang w:eastAsia="ko-KR"/>
        </w:rPr>
        <w:t>VDL2 (VHF Digital Link, Mode2) [2]</w:t>
      </w:r>
    </w:p>
    <w:p w:rsidR="005C21E7" w:rsidRPr="00A33CD6" w:rsidRDefault="00173661" w:rsidP="00B70BBA">
      <w:pPr>
        <w:pStyle w:val="BodyText"/>
        <w:rPr>
          <w:lang w:eastAsia="ko-KR"/>
        </w:rPr>
      </w:pPr>
      <w:r w:rsidRPr="00B70BBA">
        <w:rPr>
          <w:lang w:eastAsia="ko-KR"/>
        </w:rPr>
        <w:t>In VDL2, data transmission shall begin with a demodulator training sequence consisting of five segments.</w:t>
      </w:r>
    </w:p>
    <w:p w:rsidR="005C21E7" w:rsidRPr="00EF4F2B" w:rsidRDefault="00173661" w:rsidP="00B70BBA">
      <w:pPr>
        <w:pStyle w:val="BodyText"/>
        <w:rPr>
          <w:lang w:eastAsia="ko-KR"/>
        </w:rPr>
      </w:pPr>
      <w:r w:rsidRPr="00B70BBA">
        <w:rPr>
          <w:lang w:eastAsia="ko-KR"/>
        </w:rPr>
        <w:t>The purpose of the first segment of the training sequence, called the ramp-up, is to provide transmitter power stabilization and receiver AGC settling by transmitting five symbols over this period,</w:t>
      </w:r>
      <w:r w:rsidR="00A33CD6" w:rsidRPr="00A33CD6">
        <w:rPr>
          <w:lang w:eastAsia="ko-KR"/>
        </w:rPr>
        <w:t xml:space="preserve"> </w:t>
      </w:r>
      <w:r w:rsidRPr="00B70BBA">
        <w:rPr>
          <w:lang w:eastAsia="ko-KR"/>
        </w:rPr>
        <w:t xml:space="preserve">and it shall be located in front of the first symbol of the training </w:t>
      </w:r>
      <w:r w:rsidR="00B6383A" w:rsidRPr="00B70BBA">
        <w:rPr>
          <w:lang w:eastAsia="ko-KR"/>
        </w:rPr>
        <w:t>s</w:t>
      </w:r>
      <w:r w:rsidRPr="00B70BBA">
        <w:rPr>
          <w:lang w:eastAsia="ko-KR"/>
        </w:rPr>
        <w:t>equence.</w:t>
      </w:r>
      <w:r w:rsidR="00A33CD6">
        <w:rPr>
          <w:lang w:eastAsia="ko-KR"/>
        </w:rPr>
        <w:t xml:space="preserve"> </w:t>
      </w:r>
      <w:r w:rsidRPr="00B70BBA">
        <w:rPr>
          <w:lang w:eastAsia="ko-KR"/>
        </w:rPr>
        <w:t>The Ramp-up time period also provides AGC settling time for the intended receiver.</w:t>
      </w:r>
      <w:r w:rsidR="004C343C">
        <w:rPr>
          <w:rFonts w:hint="eastAsia"/>
          <w:lang w:eastAsia="ko-KR"/>
        </w:rPr>
        <w:t xml:space="preserve"> </w:t>
      </w:r>
    </w:p>
    <w:p w:rsidR="00FA7294" w:rsidRDefault="001D5864" w:rsidP="00FA7294">
      <w:pPr>
        <w:pStyle w:val="BodyText"/>
        <w:jc w:val="center"/>
      </w:pPr>
      <w:r>
        <w:rPr>
          <w:noProof/>
          <w:lang w:val="en-IE" w:eastAsia="en-IE"/>
        </w:rPr>
        <w:drawing>
          <wp:inline distT="0" distB="0" distL="0" distR="0">
            <wp:extent cx="5734050" cy="936625"/>
            <wp:effectExtent l="19050" t="0" r="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4050" cy="936625"/>
                    </a:xfrm>
                    <a:prstGeom prst="rect">
                      <a:avLst/>
                    </a:prstGeom>
                  </pic:spPr>
                </pic:pic>
              </a:graphicData>
            </a:graphic>
          </wp:inline>
        </w:drawing>
      </w:r>
    </w:p>
    <w:p w:rsidR="00FA7294" w:rsidRDefault="00FA7294" w:rsidP="00FA7294">
      <w:pPr>
        <w:pStyle w:val="Caption"/>
        <w:jc w:val="center"/>
      </w:pPr>
      <w:r>
        <w:t xml:space="preserve">Figure </w:t>
      </w:r>
      <w:fldSimple w:instr=" SEQ Figure \* ARABIC ">
        <w:r>
          <w:rPr>
            <w:noProof/>
          </w:rPr>
          <w:t>3</w:t>
        </w:r>
      </w:fldSimple>
      <w:r>
        <w:t xml:space="preserve">. </w:t>
      </w:r>
      <w:r w:rsidRPr="007B5B92">
        <w:t>VDL MODE 2, Training Sequence Structure</w:t>
      </w:r>
    </w:p>
    <w:p w:rsidR="0078293B" w:rsidRPr="00DF2B8E" w:rsidRDefault="0078293B" w:rsidP="00C86D82">
      <w:pPr>
        <w:pStyle w:val="BodyText"/>
        <w:rPr>
          <w:lang w:eastAsia="ko-KR"/>
        </w:rPr>
      </w:pPr>
    </w:p>
    <w:p w:rsidR="00F84112" w:rsidRDefault="00173661" w:rsidP="00B70BBA">
      <w:pPr>
        <w:pStyle w:val="BodyText"/>
        <w:rPr>
          <w:lang w:eastAsia="ko-KR"/>
        </w:rPr>
      </w:pPr>
      <w:r w:rsidRPr="00B70BBA">
        <w:rPr>
          <w:lang w:eastAsia="ko-KR"/>
        </w:rPr>
        <w:t xml:space="preserve">As VDL2 equipment requirements, of the five symbols of Ramp-up </w:t>
      </w:r>
      <w:r w:rsidR="005D5DD7" w:rsidRPr="00B70BBA">
        <w:rPr>
          <w:lang w:eastAsia="ko-KR"/>
        </w:rPr>
        <w:t>period</w:t>
      </w:r>
      <w:r w:rsidRPr="00B70BBA">
        <w:rPr>
          <w:lang w:eastAsia="ko-KR"/>
        </w:rPr>
        <w:t xml:space="preserve"> the transmitter</w:t>
      </w:r>
      <w:r w:rsidR="0078293B" w:rsidRPr="0078293B">
        <w:rPr>
          <w:lang w:eastAsia="ko-KR"/>
        </w:rPr>
        <w:t xml:space="preserve"> </w:t>
      </w:r>
      <w:r w:rsidRPr="00B70BBA">
        <w:rPr>
          <w:lang w:eastAsia="ko-KR"/>
        </w:rPr>
        <w:t>must achieve an RF power rise for two symbols and a receiver AGC settling for the three symbols.</w:t>
      </w:r>
    </w:p>
    <w:p w:rsidR="00F84112" w:rsidRPr="0086146B" w:rsidRDefault="00F84112" w:rsidP="0096575B">
      <w:pPr>
        <w:rPr>
          <w:rFonts w:ascii="Calibri" w:hAnsi="Calibri"/>
          <w:lang w:eastAsia="ko-KR"/>
        </w:rPr>
      </w:pPr>
    </w:p>
    <w:p w:rsidR="0096575B" w:rsidRDefault="0096575B" w:rsidP="00FA7294">
      <w:pPr>
        <w:pStyle w:val="Heading2"/>
        <w:rPr>
          <w:lang w:eastAsia="ko-KR"/>
        </w:rPr>
      </w:pPr>
      <w:r>
        <w:rPr>
          <w:rFonts w:hint="eastAsia"/>
          <w:lang w:eastAsia="ko-KR"/>
        </w:rPr>
        <w:t xml:space="preserve">SES; </w:t>
      </w:r>
      <w:r w:rsidRPr="00FA7294">
        <w:rPr>
          <w:rFonts w:hint="eastAsia"/>
        </w:rPr>
        <w:t>RSM</w:t>
      </w:r>
      <w:r>
        <w:rPr>
          <w:rFonts w:hint="eastAsia"/>
          <w:lang w:eastAsia="ko-KR"/>
        </w:rPr>
        <w:t>-A</w:t>
      </w:r>
      <w:r w:rsidRPr="00683E54">
        <w:t xml:space="preserve"> </w:t>
      </w:r>
      <w:r>
        <w:rPr>
          <w:rFonts w:hint="eastAsia"/>
          <w:lang w:eastAsia="ko-KR"/>
        </w:rPr>
        <w:t>(</w:t>
      </w:r>
      <w:r>
        <w:rPr>
          <w:lang w:eastAsia="ko-KR"/>
        </w:rPr>
        <w:t>Satellite Earth Stations and Systems</w:t>
      </w:r>
      <w:r>
        <w:rPr>
          <w:rFonts w:hint="eastAsia"/>
          <w:lang w:eastAsia="ko-KR"/>
        </w:rPr>
        <w:t xml:space="preserve">; </w:t>
      </w:r>
      <w:r w:rsidRPr="00683E54">
        <w:rPr>
          <w:lang w:eastAsia="ko-KR"/>
        </w:rPr>
        <w:t>Regenerative Satellite Mesh</w:t>
      </w:r>
      <w:r>
        <w:rPr>
          <w:rFonts w:hint="eastAsia"/>
          <w:lang w:eastAsia="ko-KR"/>
        </w:rPr>
        <w:t>-A</w:t>
      </w:r>
      <w:r>
        <w:rPr>
          <w:lang w:eastAsia="ko-KR"/>
        </w:rPr>
        <w:t xml:space="preserve"> air interface</w:t>
      </w:r>
      <w:r>
        <w:rPr>
          <w:rFonts w:hint="eastAsia"/>
          <w:lang w:eastAsia="ko-KR"/>
        </w:rPr>
        <w:t>) [</w:t>
      </w:r>
      <w:r w:rsidR="001D5864">
        <w:rPr>
          <w:lang w:eastAsia="ko-KR"/>
        </w:rPr>
        <w:t>3</w:t>
      </w:r>
      <w:r>
        <w:rPr>
          <w:rFonts w:hint="eastAsia"/>
          <w:lang w:eastAsia="ko-KR"/>
        </w:rPr>
        <w:t>]</w:t>
      </w:r>
    </w:p>
    <w:p w:rsidR="003600A9" w:rsidRDefault="00173661" w:rsidP="00B70BBA">
      <w:pPr>
        <w:pStyle w:val="BodyText"/>
        <w:rPr>
          <w:lang w:eastAsia="ko-KR"/>
        </w:rPr>
      </w:pPr>
      <w:r w:rsidRPr="00B70BBA">
        <w:rPr>
          <w:lang w:eastAsia="ko-KR"/>
        </w:rPr>
        <w:t>In SES; RSM-A specification, an uplink TDMA time slot is composed of a Start guard time period, a Ramp-up</w:t>
      </w:r>
      <w:r w:rsidR="005D5DD7" w:rsidRPr="00B70BBA">
        <w:rPr>
          <w:lang w:eastAsia="ko-KR"/>
        </w:rPr>
        <w:t xml:space="preserve"> </w:t>
      </w:r>
      <w:r w:rsidRPr="00B70BBA">
        <w:rPr>
          <w:lang w:eastAsia="ko-KR"/>
        </w:rPr>
        <w:t>period, a TDMA burst, a Ramp-down time period, an End guard time period, and a Slot alignment time period, as shown in figure 4.</w:t>
      </w:r>
      <w:r w:rsidR="00503460">
        <w:rPr>
          <w:lang w:eastAsia="ko-KR"/>
        </w:rPr>
        <w:t xml:space="preserve"> </w:t>
      </w:r>
      <w:r w:rsidRPr="00B70BBA">
        <w:rPr>
          <w:lang w:eastAsia="ko-KR"/>
        </w:rPr>
        <w:t>And this specification defines that it can be used for receiving by transmitting a specific pattern during Ramp-Up period.</w:t>
      </w:r>
      <w:r w:rsidR="00F33556">
        <w:rPr>
          <w:lang w:eastAsia="ko-KR"/>
        </w:rPr>
        <w:t xml:space="preserve"> </w:t>
      </w:r>
    </w:p>
    <w:p w:rsidR="003600A9" w:rsidRPr="00DF2B8E" w:rsidRDefault="003600A9" w:rsidP="001D5864">
      <w:pPr>
        <w:rPr>
          <w:rFonts w:ascii="Calibri" w:hAnsi="Calibri"/>
          <w:lang w:eastAsia="ko-KR"/>
        </w:rPr>
      </w:pPr>
    </w:p>
    <w:p w:rsidR="00FA7294" w:rsidRDefault="002F5F0A" w:rsidP="00FA7294">
      <w:pPr>
        <w:pStyle w:val="BodyText"/>
        <w:jc w:val="center"/>
      </w:pPr>
      <w:r w:rsidRPr="002F5F0A">
        <w:rPr>
          <w:noProof/>
          <w:lang w:val="en-IE" w:eastAsia="en-IE"/>
        </w:rPr>
        <w:drawing>
          <wp:inline distT="0" distB="0" distL="0" distR="0">
            <wp:extent cx="5040630" cy="1733550"/>
            <wp:effectExtent l="19050" t="0" r="7620" b="0"/>
            <wp:docPr id="4"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40000" cy="1731600"/>
                    </a:xfrm>
                    <a:prstGeom prst="rect">
                      <a:avLst/>
                    </a:prstGeom>
                  </pic:spPr>
                </pic:pic>
              </a:graphicData>
            </a:graphic>
          </wp:inline>
        </w:drawing>
      </w:r>
    </w:p>
    <w:p w:rsidR="002F5F0A" w:rsidRPr="0033267A" w:rsidRDefault="00FA7294" w:rsidP="00FA7294">
      <w:pPr>
        <w:pStyle w:val="Caption"/>
        <w:jc w:val="center"/>
        <w:rPr>
          <w:rFonts w:ascii="Calibri" w:hAnsi="Calibri"/>
          <w:lang w:eastAsia="ko-KR"/>
        </w:rPr>
      </w:pPr>
      <w:r>
        <w:t xml:space="preserve">Figure </w:t>
      </w:r>
      <w:fldSimple w:instr=" SEQ Figure \* ARABIC ">
        <w:r>
          <w:rPr>
            <w:noProof/>
          </w:rPr>
          <w:t>4</w:t>
        </w:r>
      </w:fldSimple>
      <w:r>
        <w:t xml:space="preserve">. </w:t>
      </w:r>
      <w:r w:rsidRPr="007C514F">
        <w:t>Uplink slot structure</w:t>
      </w:r>
    </w:p>
    <w:p w:rsidR="0086146B" w:rsidRDefault="0086146B" w:rsidP="001D5864">
      <w:pPr>
        <w:jc w:val="both"/>
        <w:rPr>
          <w:rFonts w:ascii="Calibri" w:hAnsi="Calibri"/>
          <w:lang w:eastAsia="ko-KR"/>
        </w:rPr>
      </w:pPr>
    </w:p>
    <w:p w:rsidR="00503460" w:rsidRDefault="00173661" w:rsidP="00B70BBA">
      <w:pPr>
        <w:pStyle w:val="BodyText"/>
        <w:rPr>
          <w:lang w:eastAsia="ko-KR"/>
        </w:rPr>
      </w:pPr>
      <w:r w:rsidRPr="00B70BBA">
        <w:rPr>
          <w:lang w:eastAsia="ko-KR"/>
        </w:rPr>
        <w:t>The SES uplink Ramp-up pattern is defined in Table 3.</w:t>
      </w:r>
    </w:p>
    <w:p w:rsidR="0086146B" w:rsidRPr="00FA7294" w:rsidRDefault="0086146B" w:rsidP="001D5864">
      <w:pPr>
        <w:jc w:val="both"/>
        <w:rPr>
          <w:rFonts w:ascii="Calibri" w:hAnsi="Calibri"/>
          <w:lang w:eastAsia="ko-KR"/>
        </w:rPr>
      </w:pPr>
    </w:p>
    <w:p w:rsidR="001D5864" w:rsidRPr="00362188" w:rsidRDefault="001D5864" w:rsidP="001D5864">
      <w:pPr>
        <w:jc w:val="both"/>
        <w:rPr>
          <w:rFonts w:ascii="Calibri" w:hAnsi="Calibri"/>
          <w:lang w:eastAsia="ko-KR"/>
        </w:rPr>
      </w:pPr>
    </w:p>
    <w:p w:rsidR="00FA7294" w:rsidRPr="00FA7294" w:rsidRDefault="00D823B6" w:rsidP="00FA7294">
      <w:pPr>
        <w:pStyle w:val="BodyText"/>
        <w:jc w:val="center"/>
      </w:pPr>
      <w:r w:rsidRPr="00FA7294">
        <w:rPr>
          <w:noProof/>
          <w:lang w:val="en-IE" w:eastAsia="en-IE"/>
        </w:rPr>
        <w:lastRenderedPageBreak/>
        <w:drawing>
          <wp:inline distT="0" distB="0" distL="0" distR="0">
            <wp:extent cx="4857750" cy="2296795"/>
            <wp:effectExtent l="19050" t="0" r="0" b="0"/>
            <wp:docPr id="1"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57750" cy="2296795"/>
                    </a:xfrm>
                    <a:prstGeom prst="rect">
                      <a:avLst/>
                    </a:prstGeom>
                  </pic:spPr>
                </pic:pic>
              </a:graphicData>
            </a:graphic>
          </wp:inline>
        </w:drawing>
      </w:r>
    </w:p>
    <w:p w:rsidR="001D5864" w:rsidRDefault="00FA7294" w:rsidP="00FA7294">
      <w:pPr>
        <w:pStyle w:val="Caption"/>
        <w:jc w:val="center"/>
        <w:rPr>
          <w:lang w:eastAsia="ko-KR"/>
        </w:rPr>
      </w:pPr>
      <w:r>
        <w:t xml:space="preserve">Table </w:t>
      </w:r>
      <w:fldSimple w:instr=" SEQ Table \* ARABIC ">
        <w:r>
          <w:rPr>
            <w:noProof/>
          </w:rPr>
          <w:t>3</w:t>
        </w:r>
      </w:fldSimple>
      <w:r>
        <w:t xml:space="preserve">. </w:t>
      </w:r>
      <w:r w:rsidRPr="00F15688">
        <w:t>Uplink slot ramp-up patterns</w:t>
      </w:r>
    </w:p>
    <w:p w:rsidR="00CC6DDA" w:rsidRDefault="00CC6DDA" w:rsidP="001D5864">
      <w:pPr>
        <w:pStyle w:val="BodyText"/>
        <w:rPr>
          <w:lang w:eastAsia="ko-KR"/>
        </w:rPr>
      </w:pPr>
    </w:p>
    <w:p w:rsidR="003322A2" w:rsidRDefault="003322A2" w:rsidP="003322A2">
      <w:pPr>
        <w:pStyle w:val="Heading2"/>
        <w:numPr>
          <w:ilvl w:val="1"/>
          <w:numId w:val="14"/>
        </w:numPr>
        <w:rPr>
          <w:lang w:eastAsia="ko-KR"/>
        </w:rPr>
      </w:pPr>
      <w:r>
        <w:rPr>
          <w:rFonts w:hint="eastAsia"/>
          <w:lang w:eastAsia="ko-KR"/>
        </w:rPr>
        <w:t>Symbols in Ramp-up Period for VDES</w:t>
      </w:r>
    </w:p>
    <w:p w:rsidR="00503460" w:rsidRDefault="00173661" w:rsidP="003322A2">
      <w:pPr>
        <w:pStyle w:val="BodyText"/>
        <w:rPr>
          <w:lang w:eastAsia="ko-KR"/>
        </w:rPr>
      </w:pPr>
      <w:r w:rsidRPr="00B70BBA">
        <w:rPr>
          <w:lang w:eastAsia="ko-KR"/>
        </w:rPr>
        <w:t>As a result of the examination of these specifications, a signal suitable for the AGC to be transmitted in the Ramp-Up period is determined as a pattern signal of a constant level.</w:t>
      </w:r>
      <w:r w:rsidR="00146AC5">
        <w:rPr>
          <w:lang w:eastAsia="ko-KR"/>
        </w:rPr>
        <w:t xml:space="preserve"> </w:t>
      </w:r>
    </w:p>
    <w:p w:rsidR="00FA4CA4" w:rsidRDefault="00173661" w:rsidP="003322A2">
      <w:pPr>
        <w:pStyle w:val="BodyText"/>
        <w:rPr>
          <w:lang w:eastAsia="ko-KR"/>
        </w:rPr>
      </w:pPr>
      <w:r w:rsidRPr="00B70BBA">
        <w:rPr>
          <w:lang w:eastAsia="ko-KR"/>
        </w:rPr>
        <w:t>Meanwhile, higher demodulation performance is required because there are higher-order modulation modes such as 8 PSK and 16-QAM in the transmission mode defined by the VDES physical layer.</w:t>
      </w:r>
      <w:r w:rsidR="00B34BDB" w:rsidRPr="00B34BDB">
        <w:rPr>
          <w:lang w:eastAsia="ko-KR"/>
        </w:rPr>
        <w:t xml:space="preserve"> </w:t>
      </w:r>
      <w:r w:rsidRPr="00B70BBA">
        <w:rPr>
          <w:lang w:eastAsia="ko-KR"/>
        </w:rPr>
        <w:t>And timing synchronization is required to satisfy such a demand.</w:t>
      </w:r>
    </w:p>
    <w:p w:rsidR="00FA4CA4" w:rsidRDefault="00173661" w:rsidP="003322A2">
      <w:pPr>
        <w:pStyle w:val="BodyText"/>
        <w:rPr>
          <w:lang w:eastAsia="ko-KR"/>
        </w:rPr>
      </w:pPr>
      <w:r w:rsidRPr="00B70BBA">
        <w:rPr>
          <w:lang w:eastAsia="ko-KR"/>
        </w:rPr>
        <w:t>Timing synchronization also requires sufficient time for stabilization, like AGC, therefore Ramp-Up period can be utilized.</w:t>
      </w:r>
    </w:p>
    <w:p w:rsidR="00B34BDB" w:rsidRDefault="00173661" w:rsidP="003322A2">
      <w:pPr>
        <w:pStyle w:val="BodyText"/>
        <w:rPr>
          <w:lang w:eastAsia="ko-KR"/>
        </w:rPr>
      </w:pPr>
      <w:r w:rsidRPr="00B70BBA">
        <w:rPr>
          <w:lang w:eastAsia="ko-KR"/>
        </w:rPr>
        <w:t>In this proposal, we propose a repetitive pattern with a large variation in order to utilize AGC and timing synchronization for Ramp-Up period transmission symbols as follows.</w:t>
      </w:r>
    </w:p>
    <w:p w:rsidR="0086146B" w:rsidRPr="0086146B" w:rsidRDefault="0086146B" w:rsidP="00C86D82">
      <w:pPr>
        <w:pStyle w:val="BodyText"/>
        <w:rPr>
          <w:lang w:eastAsia="ko-KR"/>
        </w:rPr>
      </w:pPr>
    </w:p>
    <w:tbl>
      <w:tblPr>
        <w:tblStyle w:val="TableGrid"/>
        <w:tblW w:w="8985" w:type="dxa"/>
        <w:jc w:val="center"/>
        <w:tblCellMar>
          <w:top w:w="57" w:type="dxa"/>
          <w:left w:w="57" w:type="dxa"/>
          <w:bottom w:w="57" w:type="dxa"/>
          <w:right w:w="57" w:type="dxa"/>
        </w:tblCellMar>
        <w:tblLook w:val="04A0" w:firstRow="1" w:lastRow="0" w:firstColumn="1" w:lastColumn="0" w:noHBand="0" w:noVBand="1"/>
      </w:tblPr>
      <w:tblGrid>
        <w:gridCol w:w="1189"/>
        <w:gridCol w:w="1330"/>
        <w:gridCol w:w="1162"/>
        <w:gridCol w:w="1760"/>
        <w:gridCol w:w="3544"/>
      </w:tblGrid>
      <w:tr w:rsidR="00CA6011" w:rsidTr="0086146B">
        <w:trPr>
          <w:trHeight w:val="709"/>
          <w:jc w:val="center"/>
        </w:trPr>
        <w:tc>
          <w:tcPr>
            <w:tcW w:w="2519" w:type="dxa"/>
            <w:gridSpan w:val="2"/>
            <w:vAlign w:val="center"/>
          </w:tcPr>
          <w:p w:rsidR="006346D9" w:rsidRDefault="006346D9" w:rsidP="00CA6011">
            <w:pPr>
              <w:pStyle w:val="BodyText"/>
              <w:spacing w:after="0"/>
              <w:jc w:val="center"/>
              <w:rPr>
                <w:lang w:eastAsia="ko-KR"/>
              </w:rPr>
            </w:pPr>
            <w:r>
              <w:rPr>
                <w:rFonts w:hint="eastAsia"/>
                <w:lang w:eastAsia="ko-KR"/>
              </w:rPr>
              <w:t xml:space="preserve">Link </w:t>
            </w:r>
            <w:proofErr w:type="spellStart"/>
            <w:r>
              <w:rPr>
                <w:lang w:eastAsia="ko-KR"/>
              </w:rPr>
              <w:t>C</w:t>
            </w:r>
            <w:r>
              <w:rPr>
                <w:rFonts w:hint="eastAsia"/>
                <w:lang w:eastAsia="ko-KR"/>
              </w:rPr>
              <w:t>onfig</w:t>
            </w:r>
            <w:proofErr w:type="spellEnd"/>
            <w:r>
              <w:rPr>
                <w:rFonts w:hint="eastAsia"/>
                <w:lang w:eastAsia="ko-KR"/>
              </w:rPr>
              <w:t xml:space="preserve"> ID</w:t>
            </w:r>
          </w:p>
        </w:tc>
        <w:tc>
          <w:tcPr>
            <w:tcW w:w="1162" w:type="dxa"/>
            <w:vAlign w:val="center"/>
          </w:tcPr>
          <w:p w:rsidR="006346D9" w:rsidRDefault="006346D9" w:rsidP="00CA6011">
            <w:pPr>
              <w:pStyle w:val="BodyText"/>
              <w:spacing w:after="0"/>
              <w:jc w:val="center"/>
              <w:rPr>
                <w:lang w:eastAsia="ko-KR"/>
              </w:rPr>
            </w:pPr>
            <w:r>
              <w:rPr>
                <w:rFonts w:hint="eastAsia"/>
                <w:lang w:eastAsia="ko-KR"/>
              </w:rPr>
              <w:t>Ramp-Up</w:t>
            </w:r>
            <w:r>
              <w:rPr>
                <w:lang w:eastAsia="ko-KR"/>
              </w:rPr>
              <w:t xml:space="preserve"> Time</w:t>
            </w:r>
            <w:r w:rsidR="00CA6011">
              <w:rPr>
                <w:lang w:eastAsia="ko-KR"/>
              </w:rPr>
              <w:t xml:space="preserve"> </w:t>
            </w:r>
            <w:r>
              <w:rPr>
                <w:lang w:eastAsia="ko-KR"/>
              </w:rPr>
              <w:t>(ms)</w:t>
            </w:r>
          </w:p>
        </w:tc>
        <w:tc>
          <w:tcPr>
            <w:tcW w:w="1760" w:type="dxa"/>
            <w:vAlign w:val="center"/>
          </w:tcPr>
          <w:p w:rsidR="00CA6011" w:rsidRDefault="006346D9" w:rsidP="00CA6011">
            <w:pPr>
              <w:pStyle w:val="BodyText"/>
              <w:spacing w:after="0"/>
              <w:jc w:val="center"/>
              <w:rPr>
                <w:lang w:eastAsia="ko-KR"/>
              </w:rPr>
            </w:pPr>
            <w:r>
              <w:rPr>
                <w:rFonts w:hint="eastAsia"/>
                <w:lang w:eastAsia="ko-KR"/>
              </w:rPr>
              <w:t>Ramp-Up</w:t>
            </w:r>
          </w:p>
          <w:p w:rsidR="006346D9" w:rsidRDefault="008A7F8E" w:rsidP="008A7F8E">
            <w:pPr>
              <w:pStyle w:val="BodyText"/>
              <w:spacing w:after="0"/>
              <w:jc w:val="center"/>
              <w:rPr>
                <w:lang w:eastAsia="ko-KR"/>
              </w:rPr>
            </w:pPr>
            <w:r>
              <w:rPr>
                <w:rFonts w:hint="eastAsia"/>
                <w:lang w:eastAsia="ko-KR"/>
              </w:rPr>
              <w:t># of transmission sy</w:t>
            </w:r>
            <w:r>
              <w:rPr>
                <w:lang w:eastAsia="ko-KR"/>
              </w:rPr>
              <w:t>mbols</w:t>
            </w:r>
          </w:p>
        </w:tc>
        <w:tc>
          <w:tcPr>
            <w:tcW w:w="3544" w:type="dxa"/>
            <w:vAlign w:val="center"/>
          </w:tcPr>
          <w:p w:rsidR="006346D9" w:rsidRDefault="006346D9" w:rsidP="00CA6011">
            <w:pPr>
              <w:pStyle w:val="BodyText"/>
              <w:spacing w:after="0"/>
              <w:jc w:val="center"/>
              <w:rPr>
                <w:lang w:eastAsia="ko-KR"/>
              </w:rPr>
            </w:pPr>
            <w:r>
              <w:rPr>
                <w:rFonts w:hint="eastAsia"/>
                <w:lang w:eastAsia="ko-KR"/>
              </w:rPr>
              <w:t>Ramp-UP Pattern</w:t>
            </w:r>
          </w:p>
        </w:tc>
      </w:tr>
      <w:tr w:rsidR="00CA6011" w:rsidTr="0086146B">
        <w:trPr>
          <w:trHeight w:val="766"/>
          <w:jc w:val="center"/>
        </w:trPr>
        <w:tc>
          <w:tcPr>
            <w:tcW w:w="1189" w:type="dxa"/>
            <w:vAlign w:val="center"/>
          </w:tcPr>
          <w:p w:rsidR="00716DC8" w:rsidRDefault="00716DC8" w:rsidP="00CA6011">
            <w:pPr>
              <w:pStyle w:val="BodyText"/>
              <w:spacing w:after="0"/>
              <w:jc w:val="center"/>
              <w:rPr>
                <w:lang w:eastAsia="ko-KR"/>
              </w:rPr>
            </w:pPr>
            <w:r>
              <w:rPr>
                <w:lang w:eastAsia="ko-KR"/>
              </w:rPr>
              <w:t>ASM-TER</w:t>
            </w:r>
          </w:p>
          <w:p w:rsidR="00716DC8" w:rsidRDefault="00716DC8" w:rsidP="00CA6011">
            <w:pPr>
              <w:pStyle w:val="BodyText"/>
              <w:spacing w:after="0"/>
              <w:jc w:val="center"/>
              <w:rPr>
                <w:lang w:eastAsia="ko-KR"/>
              </w:rPr>
            </w:pPr>
            <w:r>
              <w:rPr>
                <w:lang w:eastAsia="ko-KR"/>
              </w:rPr>
              <w:t>CH BW</w:t>
            </w:r>
          </w:p>
          <w:p w:rsidR="00716DC8" w:rsidRDefault="00716DC8" w:rsidP="00CA6011">
            <w:pPr>
              <w:pStyle w:val="BodyText"/>
              <w:spacing w:after="0"/>
              <w:jc w:val="center"/>
              <w:rPr>
                <w:lang w:eastAsia="ko-KR"/>
              </w:rPr>
            </w:pPr>
            <w:r>
              <w:rPr>
                <w:lang w:eastAsia="ko-KR"/>
              </w:rPr>
              <w:t>16kHz</w:t>
            </w:r>
          </w:p>
        </w:tc>
        <w:tc>
          <w:tcPr>
            <w:tcW w:w="1330" w:type="dxa"/>
            <w:vAlign w:val="center"/>
          </w:tcPr>
          <w:p w:rsidR="00716DC8" w:rsidRDefault="00716DC8" w:rsidP="00CA6011">
            <w:pPr>
              <w:pStyle w:val="BodyText"/>
              <w:spacing w:after="0"/>
              <w:jc w:val="center"/>
              <w:rPr>
                <w:lang w:eastAsia="ko-KR"/>
              </w:rPr>
            </w:pPr>
            <w:r>
              <w:rPr>
                <w:rFonts w:hint="eastAsia"/>
                <w:lang w:eastAsia="ko-KR"/>
              </w:rPr>
              <w:t>1</w:t>
            </w:r>
            <w:r w:rsidR="00CA6011">
              <w:rPr>
                <w:lang w:eastAsia="ko-KR"/>
              </w:rPr>
              <w:t>, 2, 3, 5, 6, 7, 8, 9, 10</w:t>
            </w:r>
          </w:p>
        </w:tc>
        <w:tc>
          <w:tcPr>
            <w:tcW w:w="1162" w:type="dxa"/>
            <w:vAlign w:val="center"/>
          </w:tcPr>
          <w:p w:rsidR="00716DC8" w:rsidRDefault="00716DC8" w:rsidP="00CA6011">
            <w:pPr>
              <w:pStyle w:val="BodyText"/>
              <w:spacing w:after="0"/>
              <w:jc w:val="center"/>
              <w:rPr>
                <w:lang w:eastAsia="ko-KR"/>
              </w:rPr>
            </w:pPr>
            <w:r>
              <w:rPr>
                <w:rFonts w:hint="eastAsia"/>
                <w:lang w:eastAsia="ko-KR"/>
              </w:rPr>
              <w:t>0.41</w:t>
            </w:r>
          </w:p>
        </w:tc>
        <w:tc>
          <w:tcPr>
            <w:tcW w:w="1760" w:type="dxa"/>
            <w:vAlign w:val="center"/>
          </w:tcPr>
          <w:p w:rsidR="00716DC8" w:rsidRDefault="00716DC8" w:rsidP="00CA6011">
            <w:pPr>
              <w:pStyle w:val="BodyText"/>
              <w:spacing w:after="0"/>
              <w:jc w:val="center"/>
              <w:rPr>
                <w:lang w:eastAsia="ko-KR"/>
              </w:rPr>
            </w:pPr>
            <w:r>
              <w:rPr>
                <w:rFonts w:hint="eastAsia"/>
                <w:lang w:eastAsia="ko-KR"/>
              </w:rPr>
              <w:t>4</w:t>
            </w:r>
          </w:p>
        </w:tc>
        <w:tc>
          <w:tcPr>
            <w:tcW w:w="3544" w:type="dxa"/>
            <w:vAlign w:val="center"/>
          </w:tcPr>
          <w:p w:rsidR="00716DC8" w:rsidRPr="005F4455" w:rsidRDefault="00716DC8" w:rsidP="00CA6011">
            <w:pPr>
              <w:pStyle w:val="BodyText"/>
              <w:spacing w:after="0"/>
              <w:rPr>
                <w:lang w:eastAsia="ko-KR"/>
              </w:rPr>
            </w:pPr>
            <w:r>
              <w:rPr>
                <w:rFonts w:hint="eastAsia"/>
                <w:lang w:eastAsia="ko-KR"/>
              </w:rPr>
              <w:t>1, 0, 1, 0</w:t>
            </w:r>
          </w:p>
        </w:tc>
      </w:tr>
      <w:tr w:rsidR="00716DC8" w:rsidTr="0086146B">
        <w:trPr>
          <w:trHeight w:val="299"/>
          <w:jc w:val="center"/>
        </w:trPr>
        <w:tc>
          <w:tcPr>
            <w:tcW w:w="1189" w:type="dxa"/>
            <w:vAlign w:val="center"/>
          </w:tcPr>
          <w:p w:rsidR="00716DC8" w:rsidRDefault="00716DC8" w:rsidP="00CA6011">
            <w:pPr>
              <w:pStyle w:val="BodyText"/>
              <w:spacing w:after="0"/>
              <w:jc w:val="center"/>
              <w:rPr>
                <w:lang w:eastAsia="ko-KR"/>
              </w:rPr>
            </w:pPr>
            <w:r>
              <w:rPr>
                <w:rFonts w:hint="eastAsia"/>
                <w:lang w:eastAsia="ko-KR"/>
              </w:rPr>
              <w:t>VDE</w:t>
            </w:r>
            <w:r>
              <w:rPr>
                <w:lang w:eastAsia="ko-KR"/>
              </w:rPr>
              <w:t>-TER</w:t>
            </w:r>
          </w:p>
          <w:p w:rsidR="00716DC8" w:rsidRDefault="00716DC8" w:rsidP="00CA6011">
            <w:pPr>
              <w:pStyle w:val="BodyText"/>
              <w:spacing w:after="0"/>
              <w:jc w:val="center"/>
              <w:rPr>
                <w:lang w:eastAsia="ko-KR"/>
              </w:rPr>
            </w:pPr>
            <w:r>
              <w:rPr>
                <w:rFonts w:hint="eastAsia"/>
                <w:lang w:eastAsia="ko-KR"/>
              </w:rPr>
              <w:t>CH BW</w:t>
            </w:r>
          </w:p>
          <w:p w:rsidR="00716DC8" w:rsidRDefault="00716DC8" w:rsidP="00CA6011">
            <w:pPr>
              <w:pStyle w:val="BodyText"/>
              <w:spacing w:after="0"/>
              <w:jc w:val="center"/>
              <w:rPr>
                <w:lang w:eastAsia="ko-KR"/>
              </w:rPr>
            </w:pPr>
            <w:r>
              <w:rPr>
                <w:lang w:eastAsia="ko-KR"/>
              </w:rPr>
              <w:t>25kHz</w:t>
            </w:r>
          </w:p>
        </w:tc>
        <w:tc>
          <w:tcPr>
            <w:tcW w:w="1330" w:type="dxa"/>
            <w:vAlign w:val="center"/>
          </w:tcPr>
          <w:p w:rsidR="00716DC8" w:rsidRDefault="00716DC8" w:rsidP="00CA6011">
            <w:pPr>
              <w:pStyle w:val="BodyText"/>
              <w:spacing w:after="0"/>
              <w:jc w:val="center"/>
              <w:rPr>
                <w:lang w:eastAsia="ko-KR"/>
              </w:rPr>
            </w:pPr>
            <w:r>
              <w:rPr>
                <w:rFonts w:hint="eastAsia"/>
                <w:lang w:eastAsia="ko-KR"/>
              </w:rPr>
              <w:t>11</w:t>
            </w:r>
            <w:r w:rsidR="00CA6011">
              <w:rPr>
                <w:lang w:eastAsia="ko-KR"/>
              </w:rPr>
              <w:t>, 12, 13</w:t>
            </w:r>
          </w:p>
        </w:tc>
        <w:tc>
          <w:tcPr>
            <w:tcW w:w="1162" w:type="dxa"/>
            <w:vAlign w:val="center"/>
          </w:tcPr>
          <w:p w:rsidR="00716DC8" w:rsidRDefault="00716DC8" w:rsidP="00CA6011">
            <w:pPr>
              <w:pStyle w:val="BodyText"/>
              <w:spacing w:after="0"/>
              <w:jc w:val="center"/>
              <w:rPr>
                <w:lang w:eastAsia="ko-KR"/>
              </w:rPr>
            </w:pPr>
            <w:r>
              <w:rPr>
                <w:rFonts w:hint="eastAsia"/>
                <w:lang w:eastAsia="ko-KR"/>
              </w:rPr>
              <w:t>0.41</w:t>
            </w:r>
          </w:p>
        </w:tc>
        <w:tc>
          <w:tcPr>
            <w:tcW w:w="1760" w:type="dxa"/>
            <w:vAlign w:val="center"/>
          </w:tcPr>
          <w:p w:rsidR="00716DC8" w:rsidRDefault="00716DC8" w:rsidP="00CA6011">
            <w:pPr>
              <w:pStyle w:val="BodyText"/>
              <w:spacing w:after="0"/>
              <w:jc w:val="center"/>
              <w:rPr>
                <w:lang w:eastAsia="ko-KR"/>
              </w:rPr>
            </w:pPr>
            <w:r>
              <w:rPr>
                <w:lang w:eastAsia="ko-KR"/>
              </w:rPr>
              <w:t>8</w:t>
            </w:r>
          </w:p>
        </w:tc>
        <w:tc>
          <w:tcPr>
            <w:tcW w:w="3544" w:type="dxa"/>
            <w:vAlign w:val="center"/>
          </w:tcPr>
          <w:p w:rsidR="00716DC8" w:rsidRDefault="00716DC8" w:rsidP="00CA6011">
            <w:pPr>
              <w:pStyle w:val="BodyText"/>
              <w:spacing w:after="0"/>
              <w:rPr>
                <w:lang w:eastAsia="ko-KR"/>
              </w:rPr>
            </w:pPr>
            <w:r>
              <w:rPr>
                <w:rFonts w:hint="eastAsia"/>
                <w:lang w:eastAsia="ko-KR"/>
              </w:rPr>
              <w:t>1, 0, 1, 0</w:t>
            </w:r>
            <w:r>
              <w:rPr>
                <w:lang w:eastAsia="ko-KR"/>
              </w:rPr>
              <w:t xml:space="preserve">, </w:t>
            </w:r>
            <w:r>
              <w:rPr>
                <w:rFonts w:hint="eastAsia"/>
                <w:lang w:eastAsia="ko-KR"/>
              </w:rPr>
              <w:t>1, 0, 1, 0</w:t>
            </w:r>
          </w:p>
        </w:tc>
      </w:tr>
      <w:tr w:rsidR="00716DC8" w:rsidTr="0086146B">
        <w:trPr>
          <w:trHeight w:val="879"/>
          <w:jc w:val="center"/>
        </w:trPr>
        <w:tc>
          <w:tcPr>
            <w:tcW w:w="1189" w:type="dxa"/>
            <w:vAlign w:val="center"/>
          </w:tcPr>
          <w:p w:rsidR="00716DC8" w:rsidRDefault="00716DC8" w:rsidP="00CA6011">
            <w:pPr>
              <w:pStyle w:val="BodyText"/>
              <w:spacing w:after="0"/>
              <w:jc w:val="center"/>
              <w:rPr>
                <w:lang w:eastAsia="ko-KR"/>
              </w:rPr>
            </w:pPr>
            <w:r>
              <w:rPr>
                <w:rFonts w:hint="eastAsia"/>
                <w:lang w:eastAsia="ko-KR"/>
              </w:rPr>
              <w:t>VDE</w:t>
            </w:r>
            <w:r>
              <w:rPr>
                <w:lang w:eastAsia="ko-KR"/>
              </w:rPr>
              <w:t>-TER</w:t>
            </w:r>
          </w:p>
          <w:p w:rsidR="00716DC8" w:rsidRDefault="00716DC8" w:rsidP="00CA6011">
            <w:pPr>
              <w:pStyle w:val="BodyText"/>
              <w:spacing w:after="0"/>
              <w:jc w:val="center"/>
              <w:rPr>
                <w:lang w:eastAsia="ko-KR"/>
              </w:rPr>
            </w:pPr>
            <w:r>
              <w:rPr>
                <w:rFonts w:hint="eastAsia"/>
                <w:lang w:eastAsia="ko-KR"/>
              </w:rPr>
              <w:t>CH BW</w:t>
            </w:r>
          </w:p>
          <w:p w:rsidR="00716DC8" w:rsidRDefault="00716DC8" w:rsidP="00CA6011">
            <w:pPr>
              <w:pStyle w:val="BodyText"/>
              <w:spacing w:after="0"/>
              <w:jc w:val="center"/>
              <w:rPr>
                <w:lang w:eastAsia="ko-KR"/>
              </w:rPr>
            </w:pPr>
            <w:r>
              <w:rPr>
                <w:lang w:eastAsia="ko-KR"/>
              </w:rPr>
              <w:t>50kHz</w:t>
            </w:r>
          </w:p>
        </w:tc>
        <w:tc>
          <w:tcPr>
            <w:tcW w:w="1330" w:type="dxa"/>
            <w:vAlign w:val="center"/>
          </w:tcPr>
          <w:p w:rsidR="00716DC8" w:rsidRDefault="00716DC8" w:rsidP="00CA6011">
            <w:pPr>
              <w:pStyle w:val="BodyText"/>
              <w:spacing w:after="0"/>
              <w:jc w:val="center"/>
              <w:rPr>
                <w:lang w:eastAsia="ko-KR"/>
              </w:rPr>
            </w:pPr>
            <w:r>
              <w:rPr>
                <w:rFonts w:hint="eastAsia"/>
                <w:lang w:eastAsia="ko-KR"/>
              </w:rPr>
              <w:t>14</w:t>
            </w:r>
            <w:r w:rsidR="00CA6011">
              <w:rPr>
                <w:lang w:eastAsia="ko-KR"/>
              </w:rPr>
              <w:t xml:space="preserve">, </w:t>
            </w:r>
            <w:r>
              <w:rPr>
                <w:rFonts w:hint="eastAsia"/>
                <w:lang w:eastAsia="ko-KR"/>
              </w:rPr>
              <w:t>15</w:t>
            </w:r>
            <w:r w:rsidR="00CA6011">
              <w:rPr>
                <w:lang w:eastAsia="ko-KR"/>
              </w:rPr>
              <w:t xml:space="preserve">, </w:t>
            </w:r>
            <w:r>
              <w:rPr>
                <w:rFonts w:hint="eastAsia"/>
                <w:lang w:eastAsia="ko-KR"/>
              </w:rPr>
              <w:t>16</w:t>
            </w:r>
          </w:p>
        </w:tc>
        <w:tc>
          <w:tcPr>
            <w:tcW w:w="1162" w:type="dxa"/>
            <w:vAlign w:val="center"/>
          </w:tcPr>
          <w:p w:rsidR="00716DC8" w:rsidRDefault="00716DC8" w:rsidP="00CA6011">
            <w:pPr>
              <w:pStyle w:val="BodyText"/>
              <w:spacing w:after="0"/>
              <w:jc w:val="center"/>
              <w:rPr>
                <w:lang w:eastAsia="ko-KR"/>
              </w:rPr>
            </w:pPr>
            <w:r>
              <w:rPr>
                <w:lang w:eastAsia="ko-KR"/>
              </w:rPr>
              <w:t>0.41</w:t>
            </w:r>
          </w:p>
        </w:tc>
        <w:tc>
          <w:tcPr>
            <w:tcW w:w="1760" w:type="dxa"/>
            <w:vAlign w:val="center"/>
          </w:tcPr>
          <w:p w:rsidR="00716DC8" w:rsidRDefault="00716DC8" w:rsidP="00CA6011">
            <w:pPr>
              <w:pStyle w:val="BodyText"/>
              <w:spacing w:after="0"/>
              <w:jc w:val="center"/>
              <w:rPr>
                <w:lang w:eastAsia="ko-KR"/>
              </w:rPr>
            </w:pPr>
            <w:r>
              <w:rPr>
                <w:rFonts w:hint="eastAsia"/>
                <w:lang w:eastAsia="ko-KR"/>
              </w:rPr>
              <w:t>16</w:t>
            </w:r>
          </w:p>
        </w:tc>
        <w:tc>
          <w:tcPr>
            <w:tcW w:w="3544" w:type="dxa"/>
            <w:vAlign w:val="center"/>
          </w:tcPr>
          <w:p w:rsidR="00716DC8" w:rsidRDefault="00716DC8" w:rsidP="00CA6011">
            <w:pPr>
              <w:pStyle w:val="BodyText"/>
              <w:spacing w:after="0"/>
              <w:rPr>
                <w:lang w:eastAsia="ko-KR"/>
              </w:rPr>
            </w:pPr>
            <w:r>
              <w:rPr>
                <w:rFonts w:hint="eastAsia"/>
                <w:lang w:eastAsia="ko-KR"/>
              </w:rPr>
              <w:t>1, 0, 1, 0</w:t>
            </w:r>
            <w:r>
              <w:rPr>
                <w:lang w:eastAsia="ko-KR"/>
              </w:rPr>
              <w:t xml:space="preserve">, </w:t>
            </w:r>
            <w:r>
              <w:rPr>
                <w:rFonts w:hint="eastAsia"/>
                <w:lang w:eastAsia="ko-KR"/>
              </w:rPr>
              <w:t>1, 0, 1, 0</w:t>
            </w:r>
            <w:r>
              <w:rPr>
                <w:lang w:eastAsia="ko-KR"/>
              </w:rPr>
              <w:t xml:space="preserve">, </w:t>
            </w:r>
            <w:r>
              <w:rPr>
                <w:rFonts w:hint="eastAsia"/>
                <w:lang w:eastAsia="ko-KR"/>
              </w:rPr>
              <w:t>1, 0, 1, 0</w:t>
            </w:r>
            <w:r>
              <w:rPr>
                <w:lang w:eastAsia="ko-KR"/>
              </w:rPr>
              <w:t xml:space="preserve">, </w:t>
            </w:r>
            <w:r>
              <w:rPr>
                <w:rFonts w:hint="eastAsia"/>
                <w:lang w:eastAsia="ko-KR"/>
              </w:rPr>
              <w:t>1, 0, 1, 0</w:t>
            </w:r>
          </w:p>
        </w:tc>
      </w:tr>
      <w:tr w:rsidR="00716DC8" w:rsidTr="0086146B">
        <w:trPr>
          <w:trHeight w:val="723"/>
          <w:jc w:val="center"/>
        </w:trPr>
        <w:tc>
          <w:tcPr>
            <w:tcW w:w="1189" w:type="dxa"/>
            <w:vAlign w:val="center"/>
          </w:tcPr>
          <w:p w:rsidR="00716DC8" w:rsidRDefault="00716DC8" w:rsidP="00CA6011">
            <w:pPr>
              <w:pStyle w:val="BodyText"/>
              <w:spacing w:after="0"/>
              <w:jc w:val="center"/>
              <w:rPr>
                <w:lang w:eastAsia="ko-KR"/>
              </w:rPr>
            </w:pPr>
            <w:r>
              <w:rPr>
                <w:rFonts w:hint="eastAsia"/>
                <w:lang w:eastAsia="ko-KR"/>
              </w:rPr>
              <w:t>VDE</w:t>
            </w:r>
            <w:r>
              <w:rPr>
                <w:lang w:eastAsia="ko-KR"/>
              </w:rPr>
              <w:t>-TER</w:t>
            </w:r>
          </w:p>
          <w:p w:rsidR="00716DC8" w:rsidRDefault="00716DC8" w:rsidP="00CA6011">
            <w:pPr>
              <w:pStyle w:val="BodyText"/>
              <w:spacing w:after="0"/>
              <w:jc w:val="center"/>
              <w:rPr>
                <w:lang w:eastAsia="ko-KR"/>
              </w:rPr>
            </w:pPr>
            <w:r>
              <w:rPr>
                <w:rFonts w:hint="eastAsia"/>
                <w:lang w:eastAsia="ko-KR"/>
              </w:rPr>
              <w:t>CH BW</w:t>
            </w:r>
          </w:p>
          <w:p w:rsidR="00716DC8" w:rsidRDefault="00716DC8" w:rsidP="00CA6011">
            <w:pPr>
              <w:pStyle w:val="BodyText"/>
              <w:spacing w:after="0"/>
              <w:jc w:val="center"/>
              <w:rPr>
                <w:lang w:eastAsia="ko-KR"/>
              </w:rPr>
            </w:pPr>
            <w:r>
              <w:rPr>
                <w:lang w:eastAsia="ko-KR"/>
              </w:rPr>
              <w:t>100kHz</w:t>
            </w:r>
          </w:p>
        </w:tc>
        <w:tc>
          <w:tcPr>
            <w:tcW w:w="1330" w:type="dxa"/>
            <w:vAlign w:val="center"/>
          </w:tcPr>
          <w:p w:rsidR="00716DC8" w:rsidRDefault="00716DC8" w:rsidP="00CA6011">
            <w:pPr>
              <w:pStyle w:val="BodyText"/>
              <w:spacing w:after="0"/>
              <w:jc w:val="center"/>
              <w:rPr>
                <w:lang w:eastAsia="ko-KR"/>
              </w:rPr>
            </w:pPr>
            <w:r>
              <w:rPr>
                <w:rFonts w:hint="eastAsia"/>
                <w:lang w:eastAsia="ko-KR"/>
              </w:rPr>
              <w:t>17</w:t>
            </w:r>
            <w:r w:rsidR="00CA6011">
              <w:rPr>
                <w:lang w:eastAsia="ko-KR"/>
              </w:rPr>
              <w:t xml:space="preserve">, </w:t>
            </w:r>
            <w:r>
              <w:rPr>
                <w:rFonts w:hint="eastAsia"/>
                <w:lang w:eastAsia="ko-KR"/>
              </w:rPr>
              <w:t>1</w:t>
            </w:r>
            <w:r>
              <w:rPr>
                <w:lang w:eastAsia="ko-KR"/>
              </w:rPr>
              <w:t>8</w:t>
            </w:r>
            <w:r w:rsidR="00CA6011">
              <w:rPr>
                <w:lang w:eastAsia="ko-KR"/>
              </w:rPr>
              <w:t xml:space="preserve">, </w:t>
            </w:r>
            <w:r>
              <w:rPr>
                <w:rFonts w:hint="eastAsia"/>
                <w:lang w:eastAsia="ko-KR"/>
              </w:rPr>
              <w:t>19</w:t>
            </w:r>
          </w:p>
        </w:tc>
        <w:tc>
          <w:tcPr>
            <w:tcW w:w="1162" w:type="dxa"/>
            <w:vAlign w:val="center"/>
          </w:tcPr>
          <w:p w:rsidR="00716DC8" w:rsidRDefault="00716DC8" w:rsidP="000444D7">
            <w:pPr>
              <w:pStyle w:val="BodyText"/>
              <w:spacing w:after="0"/>
              <w:jc w:val="center"/>
              <w:rPr>
                <w:lang w:eastAsia="ko-KR"/>
              </w:rPr>
            </w:pPr>
            <w:r>
              <w:rPr>
                <w:rFonts w:hint="eastAsia"/>
                <w:lang w:eastAsia="ko-KR"/>
              </w:rPr>
              <w:t>0.41</w:t>
            </w:r>
          </w:p>
        </w:tc>
        <w:tc>
          <w:tcPr>
            <w:tcW w:w="1760" w:type="dxa"/>
            <w:vAlign w:val="center"/>
          </w:tcPr>
          <w:p w:rsidR="00716DC8" w:rsidRDefault="00716DC8" w:rsidP="00CA6011">
            <w:pPr>
              <w:pStyle w:val="BodyText"/>
              <w:spacing w:after="0"/>
              <w:jc w:val="center"/>
              <w:rPr>
                <w:lang w:eastAsia="ko-KR"/>
              </w:rPr>
            </w:pPr>
            <w:r>
              <w:rPr>
                <w:rFonts w:hint="eastAsia"/>
                <w:lang w:eastAsia="ko-KR"/>
              </w:rPr>
              <w:t>32</w:t>
            </w:r>
          </w:p>
        </w:tc>
        <w:tc>
          <w:tcPr>
            <w:tcW w:w="3544" w:type="dxa"/>
            <w:vAlign w:val="center"/>
          </w:tcPr>
          <w:p w:rsidR="00716DC8" w:rsidRDefault="00716DC8" w:rsidP="00FA7294">
            <w:pPr>
              <w:pStyle w:val="BodyText"/>
              <w:keepNext/>
              <w:spacing w:after="0"/>
              <w:rPr>
                <w:lang w:eastAsia="ko-KR"/>
              </w:rPr>
            </w:pPr>
            <w:r>
              <w:rPr>
                <w:rFonts w:hint="eastAsia"/>
                <w:lang w:eastAsia="ko-KR"/>
              </w:rPr>
              <w:t>1, 0, 1, 0</w:t>
            </w:r>
            <w:r>
              <w:rPr>
                <w:lang w:eastAsia="ko-KR"/>
              </w:rPr>
              <w:t xml:space="preserve">, </w:t>
            </w:r>
            <w:r>
              <w:rPr>
                <w:rFonts w:hint="eastAsia"/>
                <w:lang w:eastAsia="ko-KR"/>
              </w:rPr>
              <w:t>1, 0, 1, 0</w:t>
            </w:r>
            <w:r>
              <w:rPr>
                <w:lang w:eastAsia="ko-KR"/>
              </w:rPr>
              <w:t xml:space="preserve">, </w:t>
            </w:r>
            <w:r>
              <w:rPr>
                <w:rFonts w:hint="eastAsia"/>
                <w:lang w:eastAsia="ko-KR"/>
              </w:rPr>
              <w:t>1, 0, 1, 0</w:t>
            </w:r>
            <w:r>
              <w:rPr>
                <w:lang w:eastAsia="ko-KR"/>
              </w:rPr>
              <w:t xml:space="preserve">, </w:t>
            </w:r>
            <w:r>
              <w:rPr>
                <w:rFonts w:hint="eastAsia"/>
                <w:lang w:eastAsia="ko-KR"/>
              </w:rPr>
              <w:t>1, 0, 1, 0</w:t>
            </w:r>
            <w:r>
              <w:rPr>
                <w:lang w:eastAsia="ko-KR"/>
              </w:rPr>
              <w:t xml:space="preserve">, </w:t>
            </w:r>
            <w:r>
              <w:rPr>
                <w:rFonts w:hint="eastAsia"/>
                <w:lang w:eastAsia="ko-KR"/>
              </w:rPr>
              <w:t>1, 0, 1, 0</w:t>
            </w:r>
            <w:r>
              <w:rPr>
                <w:lang w:eastAsia="ko-KR"/>
              </w:rPr>
              <w:t xml:space="preserve">, </w:t>
            </w:r>
            <w:r>
              <w:rPr>
                <w:rFonts w:hint="eastAsia"/>
                <w:lang w:eastAsia="ko-KR"/>
              </w:rPr>
              <w:t>1, 0, 1, 0</w:t>
            </w:r>
            <w:r>
              <w:rPr>
                <w:lang w:eastAsia="ko-KR"/>
              </w:rPr>
              <w:t xml:space="preserve">, </w:t>
            </w:r>
            <w:r>
              <w:rPr>
                <w:rFonts w:hint="eastAsia"/>
                <w:lang w:eastAsia="ko-KR"/>
              </w:rPr>
              <w:t>1, 0, 1, 0</w:t>
            </w:r>
            <w:r>
              <w:rPr>
                <w:lang w:eastAsia="ko-KR"/>
              </w:rPr>
              <w:t xml:space="preserve">, </w:t>
            </w:r>
            <w:r>
              <w:rPr>
                <w:rFonts w:hint="eastAsia"/>
                <w:lang w:eastAsia="ko-KR"/>
              </w:rPr>
              <w:t>1, 0, 1, 0</w:t>
            </w:r>
          </w:p>
        </w:tc>
      </w:tr>
    </w:tbl>
    <w:p w:rsidR="00FA7294" w:rsidRDefault="00FA7294">
      <w:pPr>
        <w:pStyle w:val="Caption"/>
      </w:pPr>
    </w:p>
    <w:p w:rsidR="00656E84" w:rsidRDefault="00656E84" w:rsidP="00656E84">
      <w:pPr>
        <w:pStyle w:val="BodyText"/>
        <w:spacing w:after="0"/>
        <w:ind w:right="440"/>
        <w:jc w:val="right"/>
        <w:rPr>
          <w:lang w:eastAsia="ko-KR"/>
        </w:rPr>
      </w:pPr>
      <w:r w:rsidRPr="00796882">
        <w:rPr>
          <w:rFonts w:hint="eastAsia"/>
          <w:lang w:eastAsia="ko-KR"/>
        </w:rPr>
        <w:t>※</w:t>
      </w:r>
      <w:r w:rsidRPr="00796882">
        <w:rPr>
          <w:rFonts w:hint="eastAsia"/>
          <w:lang w:eastAsia="ko-KR"/>
        </w:rPr>
        <w:t xml:space="preserve"> </w:t>
      </w:r>
      <w:r w:rsidRPr="008A7F8E">
        <w:rPr>
          <w:lang w:eastAsia="ko-KR"/>
        </w:rPr>
        <w:t>The Ramp-up Patter</w:t>
      </w:r>
      <w:r>
        <w:rPr>
          <w:lang w:eastAsia="ko-KR"/>
        </w:rPr>
        <w:t xml:space="preserve">n is mapped like the </w:t>
      </w:r>
      <w:proofErr w:type="spellStart"/>
      <w:r>
        <w:rPr>
          <w:lang w:eastAsia="ko-KR"/>
        </w:rPr>
        <w:t>Syncword</w:t>
      </w:r>
      <w:proofErr w:type="spellEnd"/>
      <w:r>
        <w:rPr>
          <w:lang w:eastAsia="ko-KR"/>
        </w:rPr>
        <w:t xml:space="preserve"> </w:t>
      </w:r>
      <w:r>
        <w:rPr>
          <w:rFonts w:hint="eastAsia"/>
          <w:lang w:eastAsia="ko-KR"/>
        </w:rPr>
        <w:t>of</w:t>
      </w:r>
      <w:r w:rsidRPr="008A7F8E">
        <w:rPr>
          <w:lang w:eastAsia="ko-KR"/>
        </w:rPr>
        <w:t xml:space="preserve"> VDES</w:t>
      </w:r>
      <w:r w:rsidRPr="00796882">
        <w:rPr>
          <w:lang w:eastAsia="ko-KR"/>
        </w:rPr>
        <w:t>:</w:t>
      </w:r>
    </w:p>
    <w:p w:rsidR="00656E84" w:rsidRPr="00656E84" w:rsidRDefault="00656E84" w:rsidP="00656E84">
      <w:pPr>
        <w:pStyle w:val="Caption"/>
        <w:jc w:val="center"/>
        <w:rPr>
          <w:b w:val="0"/>
        </w:rPr>
      </w:pPr>
      <w:r>
        <w:rPr>
          <w:b w:val="0"/>
          <w:lang w:eastAsia="ko-KR"/>
        </w:rPr>
        <w:t xml:space="preserve">                                                                </w:t>
      </w:r>
      <w:r w:rsidRPr="00656E84">
        <w:rPr>
          <w:b w:val="0"/>
          <w:lang w:eastAsia="ko-KR"/>
        </w:rPr>
        <w:t>1 is</w:t>
      </w:r>
      <w:r w:rsidRPr="00656E84">
        <w:rPr>
          <w:rFonts w:hint="eastAsia"/>
          <w:b w:val="0"/>
          <w:lang w:eastAsia="ko-KR"/>
        </w:rPr>
        <w:t xml:space="preserve"> </w:t>
      </w:r>
      <w:r w:rsidRPr="00656E84">
        <w:rPr>
          <w:b w:val="0"/>
          <w:lang w:eastAsia="ko-KR"/>
        </w:rPr>
        <w:t xml:space="preserve">π/4 QPSK </w:t>
      </w:r>
      <w:r w:rsidRPr="00656E84">
        <w:rPr>
          <w:rFonts w:hint="eastAsia"/>
          <w:b w:val="0"/>
          <w:lang w:eastAsia="ko-KR"/>
        </w:rPr>
        <w:t xml:space="preserve">symbol </w:t>
      </w:r>
      <w:r w:rsidRPr="00656E84">
        <w:rPr>
          <w:b w:val="0"/>
          <w:lang w:eastAsia="ko-KR"/>
        </w:rPr>
        <w:t>3 (1, 1), 0 is</w:t>
      </w:r>
      <w:r w:rsidRPr="00656E84">
        <w:rPr>
          <w:rFonts w:hint="eastAsia"/>
          <w:b w:val="0"/>
          <w:lang w:eastAsia="ko-KR"/>
        </w:rPr>
        <w:t xml:space="preserve"> </w:t>
      </w:r>
      <w:r w:rsidRPr="00656E84">
        <w:rPr>
          <w:b w:val="0"/>
          <w:lang w:eastAsia="ko-KR"/>
        </w:rPr>
        <w:t xml:space="preserve">π/4 QPSK </w:t>
      </w:r>
      <w:r w:rsidRPr="00656E84">
        <w:rPr>
          <w:rFonts w:hint="eastAsia"/>
          <w:b w:val="0"/>
          <w:lang w:eastAsia="ko-KR"/>
        </w:rPr>
        <w:t xml:space="preserve">symbol </w:t>
      </w:r>
      <w:r w:rsidRPr="00656E84">
        <w:rPr>
          <w:b w:val="0"/>
          <w:lang w:eastAsia="ko-KR"/>
        </w:rPr>
        <w:t>0 (0, 0).</w:t>
      </w:r>
    </w:p>
    <w:p w:rsidR="00656E84" w:rsidRDefault="00656E84" w:rsidP="00FA7294">
      <w:pPr>
        <w:pStyle w:val="Caption"/>
        <w:jc w:val="center"/>
      </w:pPr>
    </w:p>
    <w:p w:rsidR="00FA7294" w:rsidRDefault="00FA7294" w:rsidP="00FA7294">
      <w:pPr>
        <w:pStyle w:val="Caption"/>
        <w:jc w:val="center"/>
      </w:pPr>
      <w:r>
        <w:t xml:space="preserve">Table </w:t>
      </w:r>
      <w:r w:rsidR="00C86D82">
        <w:t>4</w:t>
      </w:r>
      <w:r>
        <w:t xml:space="preserve">. </w:t>
      </w:r>
      <w:r w:rsidRPr="0066126F">
        <w:t>Ramp-up symbol patterns for VDES</w:t>
      </w:r>
    </w:p>
    <w:p w:rsidR="006346D9" w:rsidRPr="00796882" w:rsidRDefault="006346D9" w:rsidP="00B70BBA">
      <w:pPr>
        <w:pStyle w:val="BodyText"/>
        <w:spacing w:after="0"/>
        <w:ind w:right="330"/>
        <w:jc w:val="right"/>
        <w:rPr>
          <w:lang w:eastAsia="ko-KR"/>
          <w:specVanish/>
        </w:rPr>
      </w:pPr>
    </w:p>
    <w:p w:rsidR="0072047F" w:rsidRDefault="00181D4B" w:rsidP="00656E84">
      <w:pPr>
        <w:pStyle w:val="Heading1"/>
      </w:pPr>
      <w:r>
        <w:lastRenderedPageBreak/>
        <w:t xml:space="preserve"> </w:t>
      </w:r>
      <w:r w:rsidR="00B33D66">
        <w:rPr>
          <w:rFonts w:hint="eastAsia"/>
        </w:rPr>
        <w:t>Conclusion</w:t>
      </w:r>
    </w:p>
    <w:p w:rsidR="00A6400C" w:rsidRDefault="00173661" w:rsidP="00B70BBA">
      <w:pPr>
        <w:pStyle w:val="BodyText"/>
        <w:rPr>
          <w:lang w:eastAsia="ko-KR"/>
        </w:rPr>
      </w:pPr>
      <w:r w:rsidRPr="00B70BBA">
        <w:rPr>
          <w:lang w:eastAsia="ko-KR"/>
        </w:rPr>
        <w:t>In this proposal, we examined</w:t>
      </w:r>
      <w:r w:rsidR="00E11234" w:rsidRPr="00B70BBA">
        <w:rPr>
          <w:lang w:eastAsia="ko-KR"/>
        </w:rPr>
        <w:t xml:space="preserve"> the</w:t>
      </w:r>
      <w:r w:rsidRPr="00B70BBA">
        <w:rPr>
          <w:lang w:eastAsia="ko-KR"/>
        </w:rPr>
        <w:t xml:space="preserve"> </w:t>
      </w:r>
      <w:r w:rsidR="00A9066E" w:rsidRPr="00B70BBA">
        <w:rPr>
          <w:lang w:eastAsia="ko-KR"/>
        </w:rPr>
        <w:t>s</w:t>
      </w:r>
      <w:r w:rsidRPr="00B70BBA">
        <w:rPr>
          <w:lang w:eastAsia="ko-KR"/>
        </w:rPr>
        <w:t xml:space="preserve">ignal structure for VDES modem and AGC function as a synchronization function that should be applied first to the receiver for </w:t>
      </w:r>
      <w:r w:rsidR="00D437DA" w:rsidRPr="00B70BBA">
        <w:rPr>
          <w:lang w:eastAsia="ko-KR"/>
        </w:rPr>
        <w:t>said</w:t>
      </w:r>
      <w:r w:rsidRPr="00B70BBA">
        <w:rPr>
          <w:lang w:eastAsia="ko-KR"/>
        </w:rPr>
        <w:t xml:space="preserve"> signal structure.</w:t>
      </w:r>
    </w:p>
    <w:p w:rsidR="00DA38D8" w:rsidRPr="00DA38D8" w:rsidRDefault="003B06E9" w:rsidP="00B70BBA">
      <w:pPr>
        <w:pStyle w:val="BodyText"/>
        <w:rPr>
          <w:lang w:eastAsia="ko-KR"/>
        </w:rPr>
      </w:pPr>
      <w:r w:rsidRPr="00B70BBA">
        <w:rPr>
          <w:lang w:eastAsia="ko-KR"/>
        </w:rPr>
        <w:t>It was analysed through</w:t>
      </w:r>
      <w:r w:rsidR="009A4A51" w:rsidRPr="00B70BBA">
        <w:rPr>
          <w:lang w:eastAsia="ko-KR"/>
        </w:rPr>
        <w:t xml:space="preserve"> </w:t>
      </w:r>
      <w:r w:rsidR="00173661" w:rsidRPr="00B70BBA">
        <w:rPr>
          <w:lang w:eastAsia="ko-KR"/>
        </w:rPr>
        <w:t xml:space="preserve">simulation </w:t>
      </w:r>
      <w:r w:rsidR="001A2890" w:rsidRPr="00B70BBA">
        <w:rPr>
          <w:lang w:eastAsia="ko-KR"/>
        </w:rPr>
        <w:t>tests</w:t>
      </w:r>
      <w:r w:rsidR="009A4A51" w:rsidRPr="00B70BBA">
        <w:rPr>
          <w:lang w:eastAsia="ko-KR"/>
        </w:rPr>
        <w:t xml:space="preserve">, </w:t>
      </w:r>
      <w:r w:rsidR="002E62D1" w:rsidRPr="00B70BBA">
        <w:rPr>
          <w:lang w:eastAsia="ko-KR"/>
        </w:rPr>
        <w:t>that</w:t>
      </w:r>
      <w:r w:rsidR="00F02136" w:rsidRPr="00B70BBA">
        <w:rPr>
          <w:lang w:eastAsia="ko-KR"/>
        </w:rPr>
        <w:t xml:space="preserve"> </w:t>
      </w:r>
      <w:r w:rsidR="00173661" w:rsidRPr="00B70BBA">
        <w:rPr>
          <w:lang w:eastAsia="ko-KR"/>
        </w:rPr>
        <w:t>some signals of training sequence are used until the AGC output is stabilized and as a result, the number of valid symbols available in the signal detector is reduced.</w:t>
      </w:r>
    </w:p>
    <w:p w:rsidR="00DA38D8" w:rsidRPr="00DA38D8" w:rsidRDefault="00173661" w:rsidP="00B70BBA">
      <w:pPr>
        <w:pStyle w:val="BodyText"/>
        <w:rPr>
          <w:lang w:eastAsia="ko-KR"/>
        </w:rPr>
      </w:pPr>
      <w:r w:rsidRPr="00B70BBA">
        <w:rPr>
          <w:lang w:eastAsia="ko-KR"/>
        </w:rPr>
        <w:t>From the above results, it is confirmed that the AGC output should be stabilized before the training sequence, and valid symbols transmission in the Ramp-Up period is suggested as a method for securing symbols necessary for AGC within the range of the recommendation.</w:t>
      </w:r>
    </w:p>
    <w:p w:rsidR="00DA38D8" w:rsidRPr="00DA38D8" w:rsidRDefault="00173661" w:rsidP="00B70BBA">
      <w:pPr>
        <w:pStyle w:val="BodyText"/>
        <w:rPr>
          <w:lang w:eastAsia="ko-KR"/>
        </w:rPr>
      </w:pPr>
      <w:r w:rsidRPr="00B70BBA">
        <w:rPr>
          <w:lang w:eastAsia="ko-KR"/>
        </w:rPr>
        <w:t xml:space="preserve">In addition, we proposed a symbol that can be used for AGC and timing synchronization as transmission symbols within Ramp-Up </w:t>
      </w:r>
      <w:r w:rsidR="005D5DD7" w:rsidRPr="00B70BBA">
        <w:rPr>
          <w:lang w:eastAsia="ko-KR"/>
        </w:rPr>
        <w:t>period</w:t>
      </w:r>
      <w:r w:rsidRPr="00B70BBA">
        <w:rPr>
          <w:lang w:eastAsia="ko-KR"/>
        </w:rPr>
        <w:t>.</w:t>
      </w:r>
    </w:p>
    <w:p w:rsidR="00E22E62" w:rsidRPr="00DA38D8" w:rsidRDefault="00E22E62">
      <w:pPr>
        <w:rPr>
          <w:rFonts w:ascii="Calibri" w:hAnsi="Calibri"/>
          <w:lang w:eastAsia="ko-KR"/>
        </w:rPr>
      </w:pPr>
    </w:p>
    <w:p w:rsidR="007F3553" w:rsidRPr="007A395D" w:rsidRDefault="007F3553" w:rsidP="007F3553">
      <w:pPr>
        <w:pStyle w:val="Heading1"/>
        <w:numPr>
          <w:ilvl w:val="0"/>
          <w:numId w:val="14"/>
        </w:numPr>
        <w:jc w:val="both"/>
      </w:pPr>
      <w:r w:rsidRPr="007A395D">
        <w:t>References</w:t>
      </w:r>
    </w:p>
    <w:p w:rsidR="001D5864" w:rsidRDefault="001D5864" w:rsidP="001D5864">
      <w:pPr>
        <w:pStyle w:val="References"/>
      </w:pPr>
      <w:r>
        <w:t>Recommendation  ITU-R  M.2092-0+ (04/2017), Technical characteristics for a VHF data exchange system in the VHF maritime mobile band</w:t>
      </w:r>
    </w:p>
    <w:p w:rsidR="001D5864" w:rsidRDefault="001D5864" w:rsidP="001D5864">
      <w:pPr>
        <w:pStyle w:val="References"/>
      </w:pPr>
      <w:r w:rsidRPr="007D00F6">
        <w:rPr>
          <w:lang w:eastAsia="ko-KR"/>
        </w:rPr>
        <w:t>ETSI EN 301 841-1 V1.4.1 (2015-04)</w:t>
      </w:r>
      <w:r>
        <w:rPr>
          <w:lang w:eastAsia="ko-KR"/>
        </w:rPr>
        <w:t>, “VHF air-ground Digital Link (VDL) Mode 2; Technical characteristics and methods of measurement for ground-based equipment; Part 1: Physical layer and MAC sub-layer”</w:t>
      </w:r>
    </w:p>
    <w:p w:rsidR="001D5864" w:rsidRDefault="001D5864" w:rsidP="001D5864">
      <w:pPr>
        <w:pStyle w:val="References"/>
        <w:jc w:val="both"/>
      </w:pPr>
      <w:r w:rsidRPr="0036630C">
        <w:t>ETSI TS 102 188-2 V1.1.2 (2004-07)</w:t>
      </w:r>
      <w:r>
        <w:rPr>
          <w:rFonts w:hint="eastAsia"/>
          <w:lang w:eastAsia="ko-KR"/>
        </w:rPr>
        <w:t>, "</w:t>
      </w:r>
      <w:r>
        <w:rPr>
          <w:lang w:eastAsia="ko-KR"/>
        </w:rPr>
        <w:t>Satellite Earth Stations and Systems (SES);</w:t>
      </w:r>
      <w:r>
        <w:rPr>
          <w:rFonts w:hint="eastAsia"/>
          <w:lang w:eastAsia="ko-KR"/>
        </w:rPr>
        <w:t xml:space="preserve"> </w:t>
      </w:r>
      <w:r>
        <w:rPr>
          <w:lang w:eastAsia="ko-KR"/>
        </w:rPr>
        <w:t>Regenerative Satellite Mesh - A (RSM-A) air interface;</w:t>
      </w:r>
      <w:r>
        <w:rPr>
          <w:rFonts w:hint="eastAsia"/>
          <w:lang w:eastAsia="ko-KR"/>
        </w:rPr>
        <w:t xml:space="preserve"> </w:t>
      </w:r>
      <w:r>
        <w:rPr>
          <w:lang w:eastAsia="ko-KR"/>
        </w:rPr>
        <w:t>Physical layer specification;</w:t>
      </w:r>
      <w:r>
        <w:rPr>
          <w:rFonts w:hint="eastAsia"/>
          <w:lang w:eastAsia="ko-KR"/>
        </w:rPr>
        <w:t xml:space="preserve"> </w:t>
      </w:r>
      <w:r>
        <w:rPr>
          <w:lang w:eastAsia="ko-KR"/>
        </w:rPr>
        <w:t>Part 2: Frame structure</w:t>
      </w:r>
      <w:r>
        <w:rPr>
          <w:rFonts w:hint="eastAsia"/>
          <w:lang w:eastAsia="ko-KR"/>
        </w:rPr>
        <w:t>"</w:t>
      </w:r>
    </w:p>
    <w:p w:rsidR="00400F77" w:rsidRPr="00D616C4" w:rsidRDefault="00400F77" w:rsidP="001D5864">
      <w:pPr>
        <w:pStyle w:val="References"/>
        <w:numPr>
          <w:ilvl w:val="0"/>
          <w:numId w:val="0"/>
        </w:numPr>
        <w:ind w:left="567"/>
        <w:jc w:val="both"/>
        <w:rPr>
          <w:lang w:eastAsia="ko-KR"/>
        </w:rPr>
      </w:pPr>
    </w:p>
    <w:p w:rsidR="007F3553" w:rsidRPr="007A395D" w:rsidRDefault="007F3553" w:rsidP="007F3553">
      <w:pPr>
        <w:pStyle w:val="Heading1"/>
        <w:numPr>
          <w:ilvl w:val="0"/>
          <w:numId w:val="14"/>
        </w:numPr>
        <w:jc w:val="both"/>
      </w:pPr>
      <w:r w:rsidRPr="007A395D">
        <w:t>Action requested of the Committee</w:t>
      </w:r>
    </w:p>
    <w:p w:rsidR="004D1D85" w:rsidRPr="007F3553" w:rsidRDefault="007C1E71" w:rsidP="007C1E71">
      <w:pPr>
        <w:pStyle w:val="BodyText"/>
        <w:rPr>
          <w:lang w:eastAsia="ko-KR"/>
        </w:rPr>
      </w:pPr>
      <w:r w:rsidRPr="007A395D">
        <w:rPr>
          <w:lang w:eastAsia="ko-KR"/>
        </w:rPr>
        <w:t>The Committee is requested to</w:t>
      </w:r>
      <w:r>
        <w:rPr>
          <w:lang w:eastAsia="ko-KR"/>
        </w:rPr>
        <w:t xml:space="preserve"> </w:t>
      </w:r>
      <w:r w:rsidR="00016007">
        <w:rPr>
          <w:lang w:eastAsia="ko-KR"/>
        </w:rPr>
        <w:t>review the paper</w:t>
      </w:r>
      <w:r>
        <w:rPr>
          <w:lang w:eastAsia="ko-KR"/>
        </w:rPr>
        <w:t xml:space="preserve"> and take appropriate action.</w:t>
      </w:r>
      <w:bookmarkStart w:id="0" w:name="_GoBack"/>
      <w:bookmarkEnd w:id="0"/>
    </w:p>
    <w:sectPr w:rsidR="004D1D85" w:rsidRPr="007F3553" w:rsidSect="00A66484">
      <w:headerReference w:type="even" r:id="rId14"/>
      <w:headerReference w:type="default" r:id="rId15"/>
      <w:footerReference w:type="default" r:id="rId16"/>
      <w:headerReference w:type="first" r:id="rId17"/>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BBF" w:rsidRDefault="00213BBF" w:rsidP="00362CD9">
      <w:r>
        <w:separator/>
      </w:r>
    </w:p>
  </w:endnote>
  <w:endnote w:type="continuationSeparator" w:id="0">
    <w:p w:rsidR="00213BBF" w:rsidRDefault="00213BB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786" w:rsidRPr="00036B9E" w:rsidRDefault="00EB5E01">
    <w:pPr>
      <w:pStyle w:val="Footer"/>
      <w:rPr>
        <w:rFonts w:ascii="Calibri" w:hAnsi="Calibri"/>
      </w:rPr>
    </w:pPr>
    <w:r w:rsidRPr="00EB5E01">
      <w:rPr>
        <w:rFonts w:ascii="Calibri" w:hAnsi="Calibri"/>
        <w:sz w:val="20"/>
        <w:szCs w:val="20"/>
      </w:rPr>
      <w:t>Symbol Transmission in Ramp-up period for Receiver AGC settling</w:t>
    </w:r>
    <w:r w:rsidR="00FB2786" w:rsidRPr="00036B9E">
      <w:rPr>
        <w:rFonts w:ascii="Calibri" w:hAnsi="Calibri"/>
      </w:rPr>
      <w:tab/>
    </w:r>
    <w:r w:rsidR="00FB2786" w:rsidRPr="00036B9E">
      <w:rPr>
        <w:rFonts w:ascii="Calibri" w:hAnsi="Calibri"/>
      </w:rPr>
      <w:fldChar w:fldCharType="begin"/>
    </w:r>
    <w:r w:rsidR="00FB2786" w:rsidRPr="00036B9E">
      <w:rPr>
        <w:rFonts w:ascii="Calibri" w:hAnsi="Calibri"/>
      </w:rPr>
      <w:instrText xml:space="preserve"> PAGE   \* MERGEFORMAT </w:instrText>
    </w:r>
    <w:r w:rsidR="00FB2786" w:rsidRPr="00036B9E">
      <w:rPr>
        <w:rFonts w:ascii="Calibri" w:hAnsi="Calibri"/>
      </w:rPr>
      <w:fldChar w:fldCharType="separate"/>
    </w:r>
    <w:r w:rsidR="00F27512">
      <w:rPr>
        <w:rFonts w:ascii="Calibri" w:hAnsi="Calibri"/>
        <w:noProof/>
      </w:rPr>
      <w:t>7</w:t>
    </w:r>
    <w:r w:rsidR="00FB2786"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BBF" w:rsidRDefault="00213BBF" w:rsidP="00362CD9">
      <w:r>
        <w:separator/>
      </w:r>
    </w:p>
  </w:footnote>
  <w:footnote w:type="continuationSeparator" w:id="0">
    <w:p w:rsidR="00213BBF" w:rsidRDefault="00213BBF" w:rsidP="00362CD9">
      <w:r>
        <w:continuationSeparator/>
      </w:r>
    </w:p>
  </w:footnote>
  <w:footnote w:id="1">
    <w:p w:rsidR="00FB2786" w:rsidRPr="00EA5A97" w:rsidRDefault="00FB2786" w:rsidP="007F3553">
      <w:pPr>
        <w:pStyle w:val="FootnoteText"/>
        <w:rPr>
          <w:lang w:val="en-US"/>
        </w:rPr>
      </w:pPr>
      <w:r>
        <w:rPr>
          <w:rStyle w:val="FootnoteReference"/>
        </w:rPr>
        <w:footnoteRef/>
      </w:r>
      <w:r>
        <w:t xml:space="preserve"> </w:t>
      </w:r>
      <w:r w:rsidRPr="00420A38">
        <w:t>Input document number, to be assigned by the Committee Secretary</w:t>
      </w:r>
    </w:p>
  </w:footnote>
  <w:footnote w:id="2">
    <w:p w:rsidR="00FB2786" w:rsidRPr="00037DF4" w:rsidRDefault="00FB2786" w:rsidP="007F3553">
      <w:pPr>
        <w:pStyle w:val="FootnoteText"/>
      </w:pPr>
      <w:r w:rsidRPr="00037DF4">
        <w:rPr>
          <w:rStyle w:val="FootnoteReference"/>
        </w:rPr>
        <w:footnoteRef/>
      </w:r>
      <w:r w:rsidRPr="00037DF4">
        <w:t xml:space="preserve"> 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786" w:rsidRDefault="00213BB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786" w:rsidRDefault="00FB2786" w:rsidP="007A395D">
    <w:pPr>
      <w:pStyle w:val="Header"/>
      <w:jc w:val="right"/>
    </w:pPr>
    <w:r>
      <w:rPr>
        <w:noProof/>
        <w:lang w:val="en-IE" w:eastAsia="en-IE"/>
      </w:rPr>
      <w:drawing>
        <wp:anchor distT="0" distB="0" distL="114300" distR="114300" simplePos="0" relativeHeight="251665408" behindDoc="0" locked="0" layoutInCell="1" allowOverlap="1">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13BB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786" w:rsidRDefault="00FB2786" w:rsidP="007A395D">
    <w:pPr>
      <w:pStyle w:val="Header"/>
      <w:jc w:val="center"/>
    </w:pPr>
    <w:r>
      <w:rPr>
        <w:noProof/>
        <w:lang w:val="en-IE" w:eastAsia="en-IE"/>
      </w:rPr>
      <w:drawing>
        <wp:anchor distT="0" distB="0" distL="114300" distR="114300" simplePos="0" relativeHeight="251658240" behindDoc="0" locked="0" layoutInCell="1" allowOverlap="1">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FB2786" w:rsidRDefault="00FB2786" w:rsidP="007A395D">
    <w:pPr>
      <w:pStyle w:val="Header"/>
      <w:jc w:val="center"/>
    </w:pPr>
  </w:p>
  <w:p w:rsidR="00FB2786" w:rsidRDefault="00213BBF" w:rsidP="007A395D">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144BAB"/>
    <w:multiLevelType w:val="hybridMultilevel"/>
    <w:tmpl w:val="FB267896"/>
    <w:lvl w:ilvl="0" w:tplc="FEF0F5B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19C37E91"/>
    <w:multiLevelType w:val="multilevel"/>
    <w:tmpl w:val="B5E6C8C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color w:val="0070C0"/>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58F1568C"/>
    <w:multiLevelType w:val="hybridMultilevel"/>
    <w:tmpl w:val="E6B08452"/>
    <w:lvl w:ilvl="0" w:tplc="3E54A7FA">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D2F1D12"/>
    <w:multiLevelType w:val="hybridMultilevel"/>
    <w:tmpl w:val="875C4464"/>
    <w:lvl w:ilvl="0" w:tplc="C944B62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4"/>
  </w:num>
  <w:num w:numId="5">
    <w:abstractNumId w:val="16"/>
  </w:num>
  <w:num w:numId="6">
    <w:abstractNumId w:val="4"/>
  </w:num>
  <w:num w:numId="7">
    <w:abstractNumId w:val="26"/>
  </w:num>
  <w:num w:numId="8">
    <w:abstractNumId w:val="11"/>
  </w:num>
  <w:num w:numId="9">
    <w:abstractNumId w:val="9"/>
  </w:num>
  <w:num w:numId="10">
    <w:abstractNumId w:val="18"/>
  </w:num>
  <w:num w:numId="11">
    <w:abstractNumId w:val="17"/>
  </w:num>
  <w:num w:numId="12">
    <w:abstractNumId w:val="15"/>
  </w:num>
  <w:num w:numId="13">
    <w:abstractNumId w:val="25"/>
  </w:num>
  <w:num w:numId="14">
    <w:abstractNumId w:val="6"/>
  </w:num>
  <w:num w:numId="15">
    <w:abstractNumId w:val="27"/>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3"/>
  </w:num>
  <w:num w:numId="46">
    <w:abstractNumId w:val="22"/>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1303"/>
    <w:rsid w:val="0000367C"/>
    <w:rsid w:val="000049D8"/>
    <w:rsid w:val="00005715"/>
    <w:rsid w:val="0000760F"/>
    <w:rsid w:val="00015786"/>
    <w:rsid w:val="00016007"/>
    <w:rsid w:val="00017D55"/>
    <w:rsid w:val="00021871"/>
    <w:rsid w:val="00021B4A"/>
    <w:rsid w:val="00022D73"/>
    <w:rsid w:val="00025432"/>
    <w:rsid w:val="0002545F"/>
    <w:rsid w:val="0002793B"/>
    <w:rsid w:val="00031EF5"/>
    <w:rsid w:val="00032BA1"/>
    <w:rsid w:val="0003633D"/>
    <w:rsid w:val="00036B9E"/>
    <w:rsid w:val="00036F8A"/>
    <w:rsid w:val="00037DF4"/>
    <w:rsid w:val="00040742"/>
    <w:rsid w:val="00040AA5"/>
    <w:rsid w:val="000444D7"/>
    <w:rsid w:val="000449A0"/>
    <w:rsid w:val="000453CD"/>
    <w:rsid w:val="00045A31"/>
    <w:rsid w:val="0004612D"/>
    <w:rsid w:val="0004700E"/>
    <w:rsid w:val="00051D91"/>
    <w:rsid w:val="00052ACE"/>
    <w:rsid w:val="00053185"/>
    <w:rsid w:val="000559CC"/>
    <w:rsid w:val="00055BBE"/>
    <w:rsid w:val="00055E49"/>
    <w:rsid w:val="0005717F"/>
    <w:rsid w:val="00060243"/>
    <w:rsid w:val="0006285A"/>
    <w:rsid w:val="000628EE"/>
    <w:rsid w:val="00066B9B"/>
    <w:rsid w:val="000672CF"/>
    <w:rsid w:val="00070C13"/>
    <w:rsid w:val="00070EBC"/>
    <w:rsid w:val="000715C9"/>
    <w:rsid w:val="00074046"/>
    <w:rsid w:val="00074FE2"/>
    <w:rsid w:val="00075A87"/>
    <w:rsid w:val="000800E7"/>
    <w:rsid w:val="00081D5B"/>
    <w:rsid w:val="00082CD2"/>
    <w:rsid w:val="000830B9"/>
    <w:rsid w:val="0008457F"/>
    <w:rsid w:val="00084D71"/>
    <w:rsid w:val="00084F33"/>
    <w:rsid w:val="00085617"/>
    <w:rsid w:val="00085843"/>
    <w:rsid w:val="00087C1D"/>
    <w:rsid w:val="00096013"/>
    <w:rsid w:val="0009697E"/>
    <w:rsid w:val="000A0A3E"/>
    <w:rsid w:val="000A1545"/>
    <w:rsid w:val="000A16A3"/>
    <w:rsid w:val="000A1CC2"/>
    <w:rsid w:val="000A2BC5"/>
    <w:rsid w:val="000A7479"/>
    <w:rsid w:val="000A77A7"/>
    <w:rsid w:val="000A7A1B"/>
    <w:rsid w:val="000B0903"/>
    <w:rsid w:val="000B1707"/>
    <w:rsid w:val="000B1BD7"/>
    <w:rsid w:val="000B4AEB"/>
    <w:rsid w:val="000B4C95"/>
    <w:rsid w:val="000B5163"/>
    <w:rsid w:val="000B617B"/>
    <w:rsid w:val="000B72FD"/>
    <w:rsid w:val="000C0085"/>
    <w:rsid w:val="000C1B3E"/>
    <w:rsid w:val="000C61D9"/>
    <w:rsid w:val="000D17FE"/>
    <w:rsid w:val="000D5AB3"/>
    <w:rsid w:val="000D7F27"/>
    <w:rsid w:val="000E2609"/>
    <w:rsid w:val="000E2C5A"/>
    <w:rsid w:val="000E58E0"/>
    <w:rsid w:val="000E64F9"/>
    <w:rsid w:val="000E74EF"/>
    <w:rsid w:val="000F62F9"/>
    <w:rsid w:val="000F6525"/>
    <w:rsid w:val="000F6679"/>
    <w:rsid w:val="000F6AA9"/>
    <w:rsid w:val="000F731B"/>
    <w:rsid w:val="00101891"/>
    <w:rsid w:val="00103224"/>
    <w:rsid w:val="00103326"/>
    <w:rsid w:val="001051F3"/>
    <w:rsid w:val="001056BA"/>
    <w:rsid w:val="00106EDE"/>
    <w:rsid w:val="00107959"/>
    <w:rsid w:val="00107BEA"/>
    <w:rsid w:val="00110AE7"/>
    <w:rsid w:val="00112BD1"/>
    <w:rsid w:val="00116A32"/>
    <w:rsid w:val="00122DD8"/>
    <w:rsid w:val="00124945"/>
    <w:rsid w:val="001259A8"/>
    <w:rsid w:val="00125B7A"/>
    <w:rsid w:val="001273B1"/>
    <w:rsid w:val="001306EE"/>
    <w:rsid w:val="00131790"/>
    <w:rsid w:val="00131AD6"/>
    <w:rsid w:val="00134703"/>
    <w:rsid w:val="00134E28"/>
    <w:rsid w:val="00136355"/>
    <w:rsid w:val="001366C1"/>
    <w:rsid w:val="0014053C"/>
    <w:rsid w:val="00146AC5"/>
    <w:rsid w:val="00147DE0"/>
    <w:rsid w:val="00151CDE"/>
    <w:rsid w:val="001541BE"/>
    <w:rsid w:val="0015541F"/>
    <w:rsid w:val="0015768E"/>
    <w:rsid w:val="00157DA4"/>
    <w:rsid w:val="00161E0C"/>
    <w:rsid w:val="00165963"/>
    <w:rsid w:val="00166AE2"/>
    <w:rsid w:val="00167C07"/>
    <w:rsid w:val="00170508"/>
    <w:rsid w:val="0017082C"/>
    <w:rsid w:val="00170E05"/>
    <w:rsid w:val="00173661"/>
    <w:rsid w:val="00173FBA"/>
    <w:rsid w:val="0017458C"/>
    <w:rsid w:val="00174FBD"/>
    <w:rsid w:val="0017584F"/>
    <w:rsid w:val="001775F4"/>
    <w:rsid w:val="00177F4D"/>
    <w:rsid w:val="00180DDA"/>
    <w:rsid w:val="00181A6F"/>
    <w:rsid w:val="00181D4B"/>
    <w:rsid w:val="00187C0C"/>
    <w:rsid w:val="001914C7"/>
    <w:rsid w:val="00192AA4"/>
    <w:rsid w:val="00193852"/>
    <w:rsid w:val="00195091"/>
    <w:rsid w:val="001973B3"/>
    <w:rsid w:val="001A2890"/>
    <w:rsid w:val="001A52C2"/>
    <w:rsid w:val="001A6022"/>
    <w:rsid w:val="001A6D1C"/>
    <w:rsid w:val="001A72A5"/>
    <w:rsid w:val="001A7C85"/>
    <w:rsid w:val="001B05B0"/>
    <w:rsid w:val="001B13A8"/>
    <w:rsid w:val="001B2551"/>
    <w:rsid w:val="001B2A2D"/>
    <w:rsid w:val="001B48A1"/>
    <w:rsid w:val="001B5977"/>
    <w:rsid w:val="001B737D"/>
    <w:rsid w:val="001C3211"/>
    <w:rsid w:val="001C44A3"/>
    <w:rsid w:val="001C580C"/>
    <w:rsid w:val="001C74AF"/>
    <w:rsid w:val="001D0A1A"/>
    <w:rsid w:val="001D12B8"/>
    <w:rsid w:val="001D4587"/>
    <w:rsid w:val="001D5864"/>
    <w:rsid w:val="001D6432"/>
    <w:rsid w:val="001D6489"/>
    <w:rsid w:val="001D7D3B"/>
    <w:rsid w:val="001E0E15"/>
    <w:rsid w:val="001E2C55"/>
    <w:rsid w:val="001E5E09"/>
    <w:rsid w:val="001E6BF4"/>
    <w:rsid w:val="001F0659"/>
    <w:rsid w:val="001F2CB1"/>
    <w:rsid w:val="001F3A55"/>
    <w:rsid w:val="001F3FD9"/>
    <w:rsid w:val="001F42B1"/>
    <w:rsid w:val="001F5091"/>
    <w:rsid w:val="001F528A"/>
    <w:rsid w:val="001F704E"/>
    <w:rsid w:val="001F7DC3"/>
    <w:rsid w:val="00200B1E"/>
    <w:rsid w:val="00200B60"/>
    <w:rsid w:val="00201462"/>
    <w:rsid w:val="00201722"/>
    <w:rsid w:val="00202149"/>
    <w:rsid w:val="00204694"/>
    <w:rsid w:val="00205759"/>
    <w:rsid w:val="00206887"/>
    <w:rsid w:val="002076CB"/>
    <w:rsid w:val="00211EB7"/>
    <w:rsid w:val="002124A9"/>
    <w:rsid w:val="002125B0"/>
    <w:rsid w:val="00213BBF"/>
    <w:rsid w:val="00215020"/>
    <w:rsid w:val="0021659C"/>
    <w:rsid w:val="00223BFE"/>
    <w:rsid w:val="00225696"/>
    <w:rsid w:val="00227801"/>
    <w:rsid w:val="0023035A"/>
    <w:rsid w:val="00232921"/>
    <w:rsid w:val="00233523"/>
    <w:rsid w:val="0023607C"/>
    <w:rsid w:val="00236CD0"/>
    <w:rsid w:val="002377D0"/>
    <w:rsid w:val="00242217"/>
    <w:rsid w:val="002426A4"/>
    <w:rsid w:val="00242E02"/>
    <w:rsid w:val="00243228"/>
    <w:rsid w:val="00243EEA"/>
    <w:rsid w:val="00244404"/>
    <w:rsid w:val="00244AB6"/>
    <w:rsid w:val="00247A58"/>
    <w:rsid w:val="00247E9D"/>
    <w:rsid w:val="0025102C"/>
    <w:rsid w:val="00251483"/>
    <w:rsid w:val="00255893"/>
    <w:rsid w:val="00255CAA"/>
    <w:rsid w:val="00256D67"/>
    <w:rsid w:val="00261343"/>
    <w:rsid w:val="002631C8"/>
    <w:rsid w:val="0026338A"/>
    <w:rsid w:val="002635E9"/>
    <w:rsid w:val="00264305"/>
    <w:rsid w:val="0026719A"/>
    <w:rsid w:val="0027181F"/>
    <w:rsid w:val="0027195B"/>
    <w:rsid w:val="00271CAD"/>
    <w:rsid w:val="00272757"/>
    <w:rsid w:val="00274D5E"/>
    <w:rsid w:val="00275C03"/>
    <w:rsid w:val="0027711D"/>
    <w:rsid w:val="002849AC"/>
    <w:rsid w:val="00284AA2"/>
    <w:rsid w:val="00284F4F"/>
    <w:rsid w:val="00285C21"/>
    <w:rsid w:val="00287397"/>
    <w:rsid w:val="00287751"/>
    <w:rsid w:val="002916A4"/>
    <w:rsid w:val="00295210"/>
    <w:rsid w:val="002972E7"/>
    <w:rsid w:val="00297EA6"/>
    <w:rsid w:val="002A0346"/>
    <w:rsid w:val="002A4487"/>
    <w:rsid w:val="002A514C"/>
    <w:rsid w:val="002A5586"/>
    <w:rsid w:val="002A7E94"/>
    <w:rsid w:val="002B000E"/>
    <w:rsid w:val="002B33CA"/>
    <w:rsid w:val="002B3E7A"/>
    <w:rsid w:val="002B49E9"/>
    <w:rsid w:val="002C03B7"/>
    <w:rsid w:val="002C5688"/>
    <w:rsid w:val="002C632E"/>
    <w:rsid w:val="002C6AC4"/>
    <w:rsid w:val="002C7F03"/>
    <w:rsid w:val="002D2CBC"/>
    <w:rsid w:val="002D344F"/>
    <w:rsid w:val="002D3E8B"/>
    <w:rsid w:val="002D4575"/>
    <w:rsid w:val="002D5C0C"/>
    <w:rsid w:val="002D673E"/>
    <w:rsid w:val="002D6D3B"/>
    <w:rsid w:val="002D7AC7"/>
    <w:rsid w:val="002E03D1"/>
    <w:rsid w:val="002E0D99"/>
    <w:rsid w:val="002E2EAC"/>
    <w:rsid w:val="002E62D1"/>
    <w:rsid w:val="002E6626"/>
    <w:rsid w:val="002E6B74"/>
    <w:rsid w:val="002E6E64"/>
    <w:rsid w:val="002E6F49"/>
    <w:rsid w:val="002E6FCA"/>
    <w:rsid w:val="002F29BE"/>
    <w:rsid w:val="002F392F"/>
    <w:rsid w:val="002F47A6"/>
    <w:rsid w:val="002F5F0A"/>
    <w:rsid w:val="002F73D4"/>
    <w:rsid w:val="00300262"/>
    <w:rsid w:val="0030308B"/>
    <w:rsid w:val="00304752"/>
    <w:rsid w:val="0030504C"/>
    <w:rsid w:val="003116BD"/>
    <w:rsid w:val="00312976"/>
    <w:rsid w:val="003133DC"/>
    <w:rsid w:val="00313485"/>
    <w:rsid w:val="003136B8"/>
    <w:rsid w:val="00321DA2"/>
    <w:rsid w:val="00322D5C"/>
    <w:rsid w:val="00324BF6"/>
    <w:rsid w:val="0032565E"/>
    <w:rsid w:val="00325E3B"/>
    <w:rsid w:val="00326164"/>
    <w:rsid w:val="003268D2"/>
    <w:rsid w:val="003322A2"/>
    <w:rsid w:val="0033267A"/>
    <w:rsid w:val="00335209"/>
    <w:rsid w:val="00335F94"/>
    <w:rsid w:val="00340991"/>
    <w:rsid w:val="00341669"/>
    <w:rsid w:val="003416C9"/>
    <w:rsid w:val="00343299"/>
    <w:rsid w:val="00351EAF"/>
    <w:rsid w:val="003530C3"/>
    <w:rsid w:val="003549CE"/>
    <w:rsid w:val="00355B02"/>
    <w:rsid w:val="00356CD0"/>
    <w:rsid w:val="003600A9"/>
    <w:rsid w:val="00360894"/>
    <w:rsid w:val="003625E2"/>
    <w:rsid w:val="00362CD9"/>
    <w:rsid w:val="00363D90"/>
    <w:rsid w:val="0036630C"/>
    <w:rsid w:val="00366691"/>
    <w:rsid w:val="003675BE"/>
    <w:rsid w:val="00367989"/>
    <w:rsid w:val="003712C0"/>
    <w:rsid w:val="003718C6"/>
    <w:rsid w:val="003761CA"/>
    <w:rsid w:val="00376538"/>
    <w:rsid w:val="00380DAF"/>
    <w:rsid w:val="0038164E"/>
    <w:rsid w:val="0038312E"/>
    <w:rsid w:val="003857EC"/>
    <w:rsid w:val="00387B25"/>
    <w:rsid w:val="00392C91"/>
    <w:rsid w:val="00393008"/>
    <w:rsid w:val="00394F8C"/>
    <w:rsid w:val="00395500"/>
    <w:rsid w:val="00396835"/>
    <w:rsid w:val="003972CE"/>
    <w:rsid w:val="003A0D1B"/>
    <w:rsid w:val="003A43F8"/>
    <w:rsid w:val="003A54C1"/>
    <w:rsid w:val="003A6030"/>
    <w:rsid w:val="003B06E9"/>
    <w:rsid w:val="003B1DB7"/>
    <w:rsid w:val="003B2101"/>
    <w:rsid w:val="003B25B0"/>
    <w:rsid w:val="003B28F5"/>
    <w:rsid w:val="003B340D"/>
    <w:rsid w:val="003B3706"/>
    <w:rsid w:val="003B3B55"/>
    <w:rsid w:val="003B4B99"/>
    <w:rsid w:val="003B5264"/>
    <w:rsid w:val="003B7B7D"/>
    <w:rsid w:val="003C43D6"/>
    <w:rsid w:val="003C4F0C"/>
    <w:rsid w:val="003C54CB"/>
    <w:rsid w:val="003C5DCA"/>
    <w:rsid w:val="003C78EA"/>
    <w:rsid w:val="003C7A2A"/>
    <w:rsid w:val="003D2DC1"/>
    <w:rsid w:val="003D3706"/>
    <w:rsid w:val="003D69D0"/>
    <w:rsid w:val="003D6ED2"/>
    <w:rsid w:val="003E0727"/>
    <w:rsid w:val="003E1520"/>
    <w:rsid w:val="003E1F94"/>
    <w:rsid w:val="003E3F14"/>
    <w:rsid w:val="003E5047"/>
    <w:rsid w:val="003E51F6"/>
    <w:rsid w:val="003E532A"/>
    <w:rsid w:val="003E745A"/>
    <w:rsid w:val="003F0024"/>
    <w:rsid w:val="003F07FD"/>
    <w:rsid w:val="003F1CDB"/>
    <w:rsid w:val="003F2918"/>
    <w:rsid w:val="003F3394"/>
    <w:rsid w:val="003F38FF"/>
    <w:rsid w:val="003F430E"/>
    <w:rsid w:val="003F4CDD"/>
    <w:rsid w:val="00400F77"/>
    <w:rsid w:val="004030D3"/>
    <w:rsid w:val="004052EC"/>
    <w:rsid w:val="0041014C"/>
    <w:rsid w:val="00410310"/>
    <w:rsid w:val="0041088C"/>
    <w:rsid w:val="00414382"/>
    <w:rsid w:val="0041713B"/>
    <w:rsid w:val="004177BB"/>
    <w:rsid w:val="00420A38"/>
    <w:rsid w:val="00421935"/>
    <w:rsid w:val="0042411A"/>
    <w:rsid w:val="00424F72"/>
    <w:rsid w:val="004304BB"/>
    <w:rsid w:val="00431B19"/>
    <w:rsid w:val="00431C37"/>
    <w:rsid w:val="00432B7C"/>
    <w:rsid w:val="0043311C"/>
    <w:rsid w:val="00437A18"/>
    <w:rsid w:val="00440410"/>
    <w:rsid w:val="00440B2A"/>
    <w:rsid w:val="004410BA"/>
    <w:rsid w:val="00442967"/>
    <w:rsid w:val="004463D4"/>
    <w:rsid w:val="00450BAD"/>
    <w:rsid w:val="004516EA"/>
    <w:rsid w:val="0045179E"/>
    <w:rsid w:val="004535BE"/>
    <w:rsid w:val="0045575D"/>
    <w:rsid w:val="004569A6"/>
    <w:rsid w:val="00457B50"/>
    <w:rsid w:val="00457C85"/>
    <w:rsid w:val="00460A09"/>
    <w:rsid w:val="0046209F"/>
    <w:rsid w:val="00463EB3"/>
    <w:rsid w:val="004654A6"/>
    <w:rsid w:val="004661AD"/>
    <w:rsid w:val="00467C37"/>
    <w:rsid w:val="00467D52"/>
    <w:rsid w:val="0047104F"/>
    <w:rsid w:val="0047139F"/>
    <w:rsid w:val="00473D45"/>
    <w:rsid w:val="004843E1"/>
    <w:rsid w:val="004843F7"/>
    <w:rsid w:val="00484ACF"/>
    <w:rsid w:val="0048564E"/>
    <w:rsid w:val="00485FCA"/>
    <w:rsid w:val="00487A2C"/>
    <w:rsid w:val="00490A93"/>
    <w:rsid w:val="00492AE8"/>
    <w:rsid w:val="00494C96"/>
    <w:rsid w:val="004950C6"/>
    <w:rsid w:val="00495B24"/>
    <w:rsid w:val="004A0875"/>
    <w:rsid w:val="004A11A1"/>
    <w:rsid w:val="004A3221"/>
    <w:rsid w:val="004A4623"/>
    <w:rsid w:val="004A54AF"/>
    <w:rsid w:val="004A5BE3"/>
    <w:rsid w:val="004A68A9"/>
    <w:rsid w:val="004A6D01"/>
    <w:rsid w:val="004A7E72"/>
    <w:rsid w:val="004B0607"/>
    <w:rsid w:val="004B39BE"/>
    <w:rsid w:val="004B405E"/>
    <w:rsid w:val="004B4619"/>
    <w:rsid w:val="004B4C72"/>
    <w:rsid w:val="004B4E80"/>
    <w:rsid w:val="004B5F57"/>
    <w:rsid w:val="004B767A"/>
    <w:rsid w:val="004C0E9A"/>
    <w:rsid w:val="004C1FD5"/>
    <w:rsid w:val="004C26FC"/>
    <w:rsid w:val="004C343C"/>
    <w:rsid w:val="004C3C39"/>
    <w:rsid w:val="004C47D4"/>
    <w:rsid w:val="004C7645"/>
    <w:rsid w:val="004D1D85"/>
    <w:rsid w:val="004D3C3A"/>
    <w:rsid w:val="004D52CA"/>
    <w:rsid w:val="004D5C72"/>
    <w:rsid w:val="004E1CD1"/>
    <w:rsid w:val="004E4CDD"/>
    <w:rsid w:val="004E550E"/>
    <w:rsid w:val="004E564B"/>
    <w:rsid w:val="004E5E66"/>
    <w:rsid w:val="004E652C"/>
    <w:rsid w:val="004E7E7F"/>
    <w:rsid w:val="004F2408"/>
    <w:rsid w:val="004F2F60"/>
    <w:rsid w:val="004F33DE"/>
    <w:rsid w:val="004F762E"/>
    <w:rsid w:val="0050092B"/>
    <w:rsid w:val="00500A5E"/>
    <w:rsid w:val="00500D22"/>
    <w:rsid w:val="005014BC"/>
    <w:rsid w:val="00502C33"/>
    <w:rsid w:val="00503055"/>
    <w:rsid w:val="00503460"/>
    <w:rsid w:val="005076CD"/>
    <w:rsid w:val="00510554"/>
    <w:rsid w:val="005107EB"/>
    <w:rsid w:val="00512002"/>
    <w:rsid w:val="00515F49"/>
    <w:rsid w:val="00517CF2"/>
    <w:rsid w:val="00521345"/>
    <w:rsid w:val="00521E80"/>
    <w:rsid w:val="005231F5"/>
    <w:rsid w:val="00526DF0"/>
    <w:rsid w:val="00527B86"/>
    <w:rsid w:val="005301A2"/>
    <w:rsid w:val="0053100E"/>
    <w:rsid w:val="005312EF"/>
    <w:rsid w:val="005335D2"/>
    <w:rsid w:val="005346E6"/>
    <w:rsid w:val="0053532E"/>
    <w:rsid w:val="005377AB"/>
    <w:rsid w:val="00540D5F"/>
    <w:rsid w:val="00541712"/>
    <w:rsid w:val="005419B4"/>
    <w:rsid w:val="00541A46"/>
    <w:rsid w:val="005420E9"/>
    <w:rsid w:val="00542DB6"/>
    <w:rsid w:val="00543831"/>
    <w:rsid w:val="00545CC4"/>
    <w:rsid w:val="00545CDB"/>
    <w:rsid w:val="0054647B"/>
    <w:rsid w:val="00546AA5"/>
    <w:rsid w:val="0054739B"/>
    <w:rsid w:val="0054744E"/>
    <w:rsid w:val="00551FFF"/>
    <w:rsid w:val="005521CB"/>
    <w:rsid w:val="00552C81"/>
    <w:rsid w:val="0055505C"/>
    <w:rsid w:val="00555E7A"/>
    <w:rsid w:val="005574A5"/>
    <w:rsid w:val="005607A2"/>
    <w:rsid w:val="00562200"/>
    <w:rsid w:val="00566DF8"/>
    <w:rsid w:val="00567988"/>
    <w:rsid w:val="00570677"/>
    <w:rsid w:val="00570B6D"/>
    <w:rsid w:val="0057198B"/>
    <w:rsid w:val="00571C43"/>
    <w:rsid w:val="005720D8"/>
    <w:rsid w:val="00573CFE"/>
    <w:rsid w:val="00576281"/>
    <w:rsid w:val="00576A27"/>
    <w:rsid w:val="00580C7D"/>
    <w:rsid w:val="005812A3"/>
    <w:rsid w:val="005830AE"/>
    <w:rsid w:val="0058431D"/>
    <w:rsid w:val="00586B6F"/>
    <w:rsid w:val="005938DF"/>
    <w:rsid w:val="005969F2"/>
    <w:rsid w:val="00597DD7"/>
    <w:rsid w:val="00597FAE"/>
    <w:rsid w:val="005A4412"/>
    <w:rsid w:val="005A7908"/>
    <w:rsid w:val="005B0D23"/>
    <w:rsid w:val="005B3140"/>
    <w:rsid w:val="005B32A3"/>
    <w:rsid w:val="005B48D2"/>
    <w:rsid w:val="005C04F7"/>
    <w:rsid w:val="005C04FE"/>
    <w:rsid w:val="005C08CF"/>
    <w:rsid w:val="005C0D44"/>
    <w:rsid w:val="005C21E7"/>
    <w:rsid w:val="005C566C"/>
    <w:rsid w:val="005C7E69"/>
    <w:rsid w:val="005D0B90"/>
    <w:rsid w:val="005D447B"/>
    <w:rsid w:val="005D49BC"/>
    <w:rsid w:val="005D5013"/>
    <w:rsid w:val="005D5DD7"/>
    <w:rsid w:val="005D6FF3"/>
    <w:rsid w:val="005E262D"/>
    <w:rsid w:val="005E41A6"/>
    <w:rsid w:val="005E466B"/>
    <w:rsid w:val="005E4892"/>
    <w:rsid w:val="005E4D60"/>
    <w:rsid w:val="005E6787"/>
    <w:rsid w:val="005F02D2"/>
    <w:rsid w:val="005F23D3"/>
    <w:rsid w:val="005F260D"/>
    <w:rsid w:val="005F2DE3"/>
    <w:rsid w:val="005F2F98"/>
    <w:rsid w:val="005F3994"/>
    <w:rsid w:val="005F425C"/>
    <w:rsid w:val="005F4455"/>
    <w:rsid w:val="005F6460"/>
    <w:rsid w:val="005F7E20"/>
    <w:rsid w:val="00600CA8"/>
    <w:rsid w:val="00605E43"/>
    <w:rsid w:val="00606C7E"/>
    <w:rsid w:val="00611005"/>
    <w:rsid w:val="006153BB"/>
    <w:rsid w:val="00615EA4"/>
    <w:rsid w:val="006177EC"/>
    <w:rsid w:val="00625930"/>
    <w:rsid w:val="00630F28"/>
    <w:rsid w:val="006346D9"/>
    <w:rsid w:val="00635A4B"/>
    <w:rsid w:val="006371AF"/>
    <w:rsid w:val="00637603"/>
    <w:rsid w:val="006409E5"/>
    <w:rsid w:val="00641C93"/>
    <w:rsid w:val="00643261"/>
    <w:rsid w:val="0064337D"/>
    <w:rsid w:val="006439B9"/>
    <w:rsid w:val="0064567F"/>
    <w:rsid w:val="00647573"/>
    <w:rsid w:val="00650573"/>
    <w:rsid w:val="00651D69"/>
    <w:rsid w:val="00654A25"/>
    <w:rsid w:val="0065583B"/>
    <w:rsid w:val="006565F7"/>
    <w:rsid w:val="00656850"/>
    <w:rsid w:val="00656E84"/>
    <w:rsid w:val="00661C46"/>
    <w:rsid w:val="006632F5"/>
    <w:rsid w:val="00663E26"/>
    <w:rsid w:val="00664E24"/>
    <w:rsid w:val="00664F7D"/>
    <w:rsid w:val="006652C3"/>
    <w:rsid w:val="00665DD6"/>
    <w:rsid w:val="0066667A"/>
    <w:rsid w:val="006674FD"/>
    <w:rsid w:val="00671550"/>
    <w:rsid w:val="00671EB3"/>
    <w:rsid w:val="00674F80"/>
    <w:rsid w:val="00675309"/>
    <w:rsid w:val="0067559D"/>
    <w:rsid w:val="0067586A"/>
    <w:rsid w:val="00675BB3"/>
    <w:rsid w:val="0067706B"/>
    <w:rsid w:val="0067764D"/>
    <w:rsid w:val="006801AD"/>
    <w:rsid w:val="00683E54"/>
    <w:rsid w:val="00684F75"/>
    <w:rsid w:val="00686055"/>
    <w:rsid w:val="00686AA6"/>
    <w:rsid w:val="00691FD0"/>
    <w:rsid w:val="00692148"/>
    <w:rsid w:val="006926D8"/>
    <w:rsid w:val="00694E13"/>
    <w:rsid w:val="00695407"/>
    <w:rsid w:val="006955E7"/>
    <w:rsid w:val="006968F4"/>
    <w:rsid w:val="006A1A1E"/>
    <w:rsid w:val="006A2C41"/>
    <w:rsid w:val="006A2F99"/>
    <w:rsid w:val="006A3E4C"/>
    <w:rsid w:val="006A521C"/>
    <w:rsid w:val="006A69D0"/>
    <w:rsid w:val="006A7E45"/>
    <w:rsid w:val="006B027C"/>
    <w:rsid w:val="006B1D69"/>
    <w:rsid w:val="006B2B2B"/>
    <w:rsid w:val="006B33D6"/>
    <w:rsid w:val="006B3B20"/>
    <w:rsid w:val="006B49B3"/>
    <w:rsid w:val="006C0C83"/>
    <w:rsid w:val="006C12B2"/>
    <w:rsid w:val="006C1318"/>
    <w:rsid w:val="006C2C54"/>
    <w:rsid w:val="006C3298"/>
    <w:rsid w:val="006C4CDE"/>
    <w:rsid w:val="006C5948"/>
    <w:rsid w:val="006C6E47"/>
    <w:rsid w:val="006C7C4B"/>
    <w:rsid w:val="006D1A46"/>
    <w:rsid w:val="006D5B82"/>
    <w:rsid w:val="006D7522"/>
    <w:rsid w:val="006D7BA0"/>
    <w:rsid w:val="006E1C16"/>
    <w:rsid w:val="006E1FCC"/>
    <w:rsid w:val="006E2F0E"/>
    <w:rsid w:val="006E30D9"/>
    <w:rsid w:val="006E3F77"/>
    <w:rsid w:val="006E588E"/>
    <w:rsid w:val="006E7292"/>
    <w:rsid w:val="006F05CB"/>
    <w:rsid w:val="006F2019"/>
    <w:rsid w:val="006F2116"/>
    <w:rsid w:val="006F2A74"/>
    <w:rsid w:val="006F3A16"/>
    <w:rsid w:val="006F3A5D"/>
    <w:rsid w:val="006F4F07"/>
    <w:rsid w:val="006F74F5"/>
    <w:rsid w:val="007007F6"/>
    <w:rsid w:val="00703E1D"/>
    <w:rsid w:val="00704D98"/>
    <w:rsid w:val="00705573"/>
    <w:rsid w:val="00705D60"/>
    <w:rsid w:val="00707940"/>
    <w:rsid w:val="007103DD"/>
    <w:rsid w:val="007113EA"/>
    <w:rsid w:val="007118F5"/>
    <w:rsid w:val="00712AA4"/>
    <w:rsid w:val="00713038"/>
    <w:rsid w:val="007146C4"/>
    <w:rsid w:val="00715A70"/>
    <w:rsid w:val="00716DC8"/>
    <w:rsid w:val="00716E1F"/>
    <w:rsid w:val="0072047F"/>
    <w:rsid w:val="007207D9"/>
    <w:rsid w:val="00720F5A"/>
    <w:rsid w:val="00721AA1"/>
    <w:rsid w:val="007226F0"/>
    <w:rsid w:val="00722F27"/>
    <w:rsid w:val="00724B67"/>
    <w:rsid w:val="00726DD2"/>
    <w:rsid w:val="00732881"/>
    <w:rsid w:val="00733A4A"/>
    <w:rsid w:val="007359B6"/>
    <w:rsid w:val="007400C9"/>
    <w:rsid w:val="00740C65"/>
    <w:rsid w:val="00741C4E"/>
    <w:rsid w:val="00743581"/>
    <w:rsid w:val="00745E65"/>
    <w:rsid w:val="00746A0F"/>
    <w:rsid w:val="007507AC"/>
    <w:rsid w:val="0075408C"/>
    <w:rsid w:val="007547F8"/>
    <w:rsid w:val="007553FF"/>
    <w:rsid w:val="00762107"/>
    <w:rsid w:val="00763143"/>
    <w:rsid w:val="00763CEA"/>
    <w:rsid w:val="00764CC7"/>
    <w:rsid w:val="00765622"/>
    <w:rsid w:val="00767FDF"/>
    <w:rsid w:val="00770B6C"/>
    <w:rsid w:val="007723DF"/>
    <w:rsid w:val="00773B1B"/>
    <w:rsid w:val="00773EF3"/>
    <w:rsid w:val="007745DB"/>
    <w:rsid w:val="00776D11"/>
    <w:rsid w:val="00781830"/>
    <w:rsid w:val="0078293B"/>
    <w:rsid w:val="00783FEA"/>
    <w:rsid w:val="00784E93"/>
    <w:rsid w:val="00785B63"/>
    <w:rsid w:val="00785D80"/>
    <w:rsid w:val="00786675"/>
    <w:rsid w:val="00794656"/>
    <w:rsid w:val="00795A4F"/>
    <w:rsid w:val="00795C21"/>
    <w:rsid w:val="00796882"/>
    <w:rsid w:val="0079742B"/>
    <w:rsid w:val="00797CE0"/>
    <w:rsid w:val="007A0721"/>
    <w:rsid w:val="007A13DF"/>
    <w:rsid w:val="007A30B1"/>
    <w:rsid w:val="007A3268"/>
    <w:rsid w:val="007A395D"/>
    <w:rsid w:val="007A69AA"/>
    <w:rsid w:val="007B03D7"/>
    <w:rsid w:val="007B2BD2"/>
    <w:rsid w:val="007B3D7A"/>
    <w:rsid w:val="007C0E4B"/>
    <w:rsid w:val="007C10D0"/>
    <w:rsid w:val="007C1E71"/>
    <w:rsid w:val="007C2D1A"/>
    <w:rsid w:val="007C346C"/>
    <w:rsid w:val="007C5033"/>
    <w:rsid w:val="007C6BC4"/>
    <w:rsid w:val="007C713D"/>
    <w:rsid w:val="007C75BE"/>
    <w:rsid w:val="007C7BDD"/>
    <w:rsid w:val="007D00B3"/>
    <w:rsid w:val="007D02BF"/>
    <w:rsid w:val="007D18FB"/>
    <w:rsid w:val="007D34B0"/>
    <w:rsid w:val="007D3979"/>
    <w:rsid w:val="007D3ACB"/>
    <w:rsid w:val="007E1B4C"/>
    <w:rsid w:val="007E21E5"/>
    <w:rsid w:val="007E4250"/>
    <w:rsid w:val="007E5E3E"/>
    <w:rsid w:val="007E70CC"/>
    <w:rsid w:val="007E7CD3"/>
    <w:rsid w:val="007F02EA"/>
    <w:rsid w:val="007F3553"/>
    <w:rsid w:val="007F768A"/>
    <w:rsid w:val="008018FD"/>
    <w:rsid w:val="0080224E"/>
    <w:rsid w:val="0080294B"/>
    <w:rsid w:val="0080419D"/>
    <w:rsid w:val="008103A6"/>
    <w:rsid w:val="00810C4E"/>
    <w:rsid w:val="00810D2C"/>
    <w:rsid w:val="00816041"/>
    <w:rsid w:val="00816809"/>
    <w:rsid w:val="00816CC2"/>
    <w:rsid w:val="00822256"/>
    <w:rsid w:val="00823FB5"/>
    <w:rsid w:val="0082480E"/>
    <w:rsid w:val="0083086A"/>
    <w:rsid w:val="0083133B"/>
    <w:rsid w:val="008343E9"/>
    <w:rsid w:val="00835035"/>
    <w:rsid w:val="00837C7E"/>
    <w:rsid w:val="00840D95"/>
    <w:rsid w:val="00841CB7"/>
    <w:rsid w:val="008439F5"/>
    <w:rsid w:val="00847498"/>
    <w:rsid w:val="00850293"/>
    <w:rsid w:val="00850AD2"/>
    <w:rsid w:val="00850CCE"/>
    <w:rsid w:val="00851373"/>
    <w:rsid w:val="00851BA6"/>
    <w:rsid w:val="0085654D"/>
    <w:rsid w:val="0086046A"/>
    <w:rsid w:val="00860C6D"/>
    <w:rsid w:val="00861160"/>
    <w:rsid w:val="0086146B"/>
    <w:rsid w:val="008640DC"/>
    <w:rsid w:val="008641AF"/>
    <w:rsid w:val="00864D93"/>
    <w:rsid w:val="00865564"/>
    <w:rsid w:val="00866240"/>
    <w:rsid w:val="0086654F"/>
    <w:rsid w:val="00870533"/>
    <w:rsid w:val="00871BED"/>
    <w:rsid w:val="0087335F"/>
    <w:rsid w:val="0087459C"/>
    <w:rsid w:val="008809D5"/>
    <w:rsid w:val="00881BD1"/>
    <w:rsid w:val="008820BC"/>
    <w:rsid w:val="008839A5"/>
    <w:rsid w:val="00887C18"/>
    <w:rsid w:val="00894173"/>
    <w:rsid w:val="00895463"/>
    <w:rsid w:val="00895595"/>
    <w:rsid w:val="00895A9D"/>
    <w:rsid w:val="0089620E"/>
    <w:rsid w:val="0089652C"/>
    <w:rsid w:val="00897C65"/>
    <w:rsid w:val="008A3545"/>
    <w:rsid w:val="008A356F"/>
    <w:rsid w:val="008A4653"/>
    <w:rsid w:val="008A4717"/>
    <w:rsid w:val="008A50CC"/>
    <w:rsid w:val="008A6366"/>
    <w:rsid w:val="008A7077"/>
    <w:rsid w:val="008A7F8E"/>
    <w:rsid w:val="008B1367"/>
    <w:rsid w:val="008B2305"/>
    <w:rsid w:val="008B307E"/>
    <w:rsid w:val="008B3A23"/>
    <w:rsid w:val="008B71A4"/>
    <w:rsid w:val="008C0F86"/>
    <w:rsid w:val="008C1BE1"/>
    <w:rsid w:val="008C4618"/>
    <w:rsid w:val="008C53AA"/>
    <w:rsid w:val="008C54EE"/>
    <w:rsid w:val="008C6352"/>
    <w:rsid w:val="008C6F92"/>
    <w:rsid w:val="008C7296"/>
    <w:rsid w:val="008C7827"/>
    <w:rsid w:val="008D09FA"/>
    <w:rsid w:val="008D109E"/>
    <w:rsid w:val="008D1694"/>
    <w:rsid w:val="008D56BC"/>
    <w:rsid w:val="008D5ABF"/>
    <w:rsid w:val="008D79CB"/>
    <w:rsid w:val="008E0383"/>
    <w:rsid w:val="008E0E4D"/>
    <w:rsid w:val="008E2420"/>
    <w:rsid w:val="008E37D6"/>
    <w:rsid w:val="008E40F1"/>
    <w:rsid w:val="008E43D2"/>
    <w:rsid w:val="008E6032"/>
    <w:rsid w:val="008E61FC"/>
    <w:rsid w:val="008E704E"/>
    <w:rsid w:val="008F04F5"/>
    <w:rsid w:val="008F0719"/>
    <w:rsid w:val="008F07BC"/>
    <w:rsid w:val="008F0DDE"/>
    <w:rsid w:val="008F327F"/>
    <w:rsid w:val="00902327"/>
    <w:rsid w:val="00902974"/>
    <w:rsid w:val="00902A9F"/>
    <w:rsid w:val="00902BA3"/>
    <w:rsid w:val="009078EA"/>
    <w:rsid w:val="009117C0"/>
    <w:rsid w:val="00913316"/>
    <w:rsid w:val="00914CF1"/>
    <w:rsid w:val="009165E5"/>
    <w:rsid w:val="00916EC0"/>
    <w:rsid w:val="009177FE"/>
    <w:rsid w:val="00922F01"/>
    <w:rsid w:val="0092309E"/>
    <w:rsid w:val="00924EF1"/>
    <w:rsid w:val="00926800"/>
    <w:rsid w:val="0092692B"/>
    <w:rsid w:val="0093150B"/>
    <w:rsid w:val="009335BA"/>
    <w:rsid w:val="009364C5"/>
    <w:rsid w:val="00940770"/>
    <w:rsid w:val="009435AA"/>
    <w:rsid w:val="00943E9C"/>
    <w:rsid w:val="00946E42"/>
    <w:rsid w:val="00953F4D"/>
    <w:rsid w:val="0095777D"/>
    <w:rsid w:val="00960BB8"/>
    <w:rsid w:val="00964F5C"/>
    <w:rsid w:val="0096575B"/>
    <w:rsid w:val="00965D47"/>
    <w:rsid w:val="00967195"/>
    <w:rsid w:val="00970E6A"/>
    <w:rsid w:val="00971418"/>
    <w:rsid w:val="00973AFE"/>
    <w:rsid w:val="00975AC6"/>
    <w:rsid w:val="00977684"/>
    <w:rsid w:val="009812F1"/>
    <w:rsid w:val="00981585"/>
    <w:rsid w:val="00981935"/>
    <w:rsid w:val="00982DE2"/>
    <w:rsid w:val="009831C0"/>
    <w:rsid w:val="00985B6B"/>
    <w:rsid w:val="00985E8E"/>
    <w:rsid w:val="00990537"/>
    <w:rsid w:val="00990D74"/>
    <w:rsid w:val="0099161D"/>
    <w:rsid w:val="009928A3"/>
    <w:rsid w:val="009939C5"/>
    <w:rsid w:val="00994E0A"/>
    <w:rsid w:val="0099621C"/>
    <w:rsid w:val="009969D5"/>
    <w:rsid w:val="00997988"/>
    <w:rsid w:val="009A09F6"/>
    <w:rsid w:val="009A4A51"/>
    <w:rsid w:val="009A60F1"/>
    <w:rsid w:val="009B0A0C"/>
    <w:rsid w:val="009B1348"/>
    <w:rsid w:val="009B24A5"/>
    <w:rsid w:val="009B2581"/>
    <w:rsid w:val="009B4BFB"/>
    <w:rsid w:val="009B4E1D"/>
    <w:rsid w:val="009B4F7E"/>
    <w:rsid w:val="009B6D4C"/>
    <w:rsid w:val="009C0A5C"/>
    <w:rsid w:val="009C1D12"/>
    <w:rsid w:val="009C246D"/>
    <w:rsid w:val="009C3995"/>
    <w:rsid w:val="009C47D2"/>
    <w:rsid w:val="009C704F"/>
    <w:rsid w:val="009D0178"/>
    <w:rsid w:val="009D4BB8"/>
    <w:rsid w:val="009D5B04"/>
    <w:rsid w:val="009E0B68"/>
    <w:rsid w:val="009E217E"/>
    <w:rsid w:val="009E2F49"/>
    <w:rsid w:val="009E3B3C"/>
    <w:rsid w:val="009E43A2"/>
    <w:rsid w:val="009E4AC9"/>
    <w:rsid w:val="009E579B"/>
    <w:rsid w:val="009E5C67"/>
    <w:rsid w:val="009E725E"/>
    <w:rsid w:val="009F141B"/>
    <w:rsid w:val="009F38C3"/>
    <w:rsid w:val="009F481C"/>
    <w:rsid w:val="009F55F3"/>
    <w:rsid w:val="009F5B71"/>
    <w:rsid w:val="009F5BAE"/>
    <w:rsid w:val="00A0100D"/>
    <w:rsid w:val="00A015B1"/>
    <w:rsid w:val="00A020C3"/>
    <w:rsid w:val="00A02C96"/>
    <w:rsid w:val="00A02E67"/>
    <w:rsid w:val="00A0389B"/>
    <w:rsid w:val="00A067CC"/>
    <w:rsid w:val="00A07562"/>
    <w:rsid w:val="00A11AB0"/>
    <w:rsid w:val="00A137AF"/>
    <w:rsid w:val="00A15FF0"/>
    <w:rsid w:val="00A17432"/>
    <w:rsid w:val="00A219EA"/>
    <w:rsid w:val="00A23F79"/>
    <w:rsid w:val="00A31D8A"/>
    <w:rsid w:val="00A32D1C"/>
    <w:rsid w:val="00A33AE9"/>
    <w:rsid w:val="00A33CD6"/>
    <w:rsid w:val="00A34FB3"/>
    <w:rsid w:val="00A3602C"/>
    <w:rsid w:val="00A369F0"/>
    <w:rsid w:val="00A37647"/>
    <w:rsid w:val="00A376E8"/>
    <w:rsid w:val="00A40675"/>
    <w:rsid w:val="00A4166B"/>
    <w:rsid w:val="00A42317"/>
    <w:rsid w:val="00A446C9"/>
    <w:rsid w:val="00A4701E"/>
    <w:rsid w:val="00A5012C"/>
    <w:rsid w:val="00A5081B"/>
    <w:rsid w:val="00A54B11"/>
    <w:rsid w:val="00A54D9E"/>
    <w:rsid w:val="00A56BCB"/>
    <w:rsid w:val="00A56C46"/>
    <w:rsid w:val="00A57E91"/>
    <w:rsid w:val="00A6091E"/>
    <w:rsid w:val="00A61927"/>
    <w:rsid w:val="00A635D6"/>
    <w:rsid w:val="00A6400C"/>
    <w:rsid w:val="00A65C9F"/>
    <w:rsid w:val="00A66484"/>
    <w:rsid w:val="00A70D59"/>
    <w:rsid w:val="00A71C49"/>
    <w:rsid w:val="00A71EE8"/>
    <w:rsid w:val="00A7295A"/>
    <w:rsid w:val="00A731C7"/>
    <w:rsid w:val="00A755EE"/>
    <w:rsid w:val="00A77A63"/>
    <w:rsid w:val="00A81D53"/>
    <w:rsid w:val="00A83F76"/>
    <w:rsid w:val="00A84398"/>
    <w:rsid w:val="00A84A32"/>
    <w:rsid w:val="00A8553A"/>
    <w:rsid w:val="00A85650"/>
    <w:rsid w:val="00A87696"/>
    <w:rsid w:val="00A87900"/>
    <w:rsid w:val="00A90506"/>
    <w:rsid w:val="00A9066E"/>
    <w:rsid w:val="00A907CA"/>
    <w:rsid w:val="00A93AED"/>
    <w:rsid w:val="00A9406A"/>
    <w:rsid w:val="00A948E1"/>
    <w:rsid w:val="00A956AA"/>
    <w:rsid w:val="00A9773B"/>
    <w:rsid w:val="00A97961"/>
    <w:rsid w:val="00AA0501"/>
    <w:rsid w:val="00AA2AE2"/>
    <w:rsid w:val="00AA2ED6"/>
    <w:rsid w:val="00AA36C0"/>
    <w:rsid w:val="00AA4792"/>
    <w:rsid w:val="00AA589D"/>
    <w:rsid w:val="00AA6558"/>
    <w:rsid w:val="00AA65A0"/>
    <w:rsid w:val="00AA6AEC"/>
    <w:rsid w:val="00AB017A"/>
    <w:rsid w:val="00AB02F2"/>
    <w:rsid w:val="00AB1181"/>
    <w:rsid w:val="00AB1698"/>
    <w:rsid w:val="00AB315F"/>
    <w:rsid w:val="00AB4070"/>
    <w:rsid w:val="00AB63F9"/>
    <w:rsid w:val="00AB6CA8"/>
    <w:rsid w:val="00AC10ED"/>
    <w:rsid w:val="00AC2537"/>
    <w:rsid w:val="00AC278E"/>
    <w:rsid w:val="00AC2BDC"/>
    <w:rsid w:val="00AC75D0"/>
    <w:rsid w:val="00AC79AF"/>
    <w:rsid w:val="00AC7CA4"/>
    <w:rsid w:val="00AC7D84"/>
    <w:rsid w:val="00AC7FF1"/>
    <w:rsid w:val="00AD0A05"/>
    <w:rsid w:val="00AD58E2"/>
    <w:rsid w:val="00AE12EF"/>
    <w:rsid w:val="00AE1319"/>
    <w:rsid w:val="00AE34BB"/>
    <w:rsid w:val="00AE6553"/>
    <w:rsid w:val="00AE7199"/>
    <w:rsid w:val="00AF2389"/>
    <w:rsid w:val="00AF28DC"/>
    <w:rsid w:val="00B0105F"/>
    <w:rsid w:val="00B046FC"/>
    <w:rsid w:val="00B04D62"/>
    <w:rsid w:val="00B06C7B"/>
    <w:rsid w:val="00B10DB7"/>
    <w:rsid w:val="00B10F08"/>
    <w:rsid w:val="00B11E58"/>
    <w:rsid w:val="00B12CD7"/>
    <w:rsid w:val="00B20731"/>
    <w:rsid w:val="00B2232C"/>
    <w:rsid w:val="00B22511"/>
    <w:rsid w:val="00B226E5"/>
    <w:rsid w:val="00B226F2"/>
    <w:rsid w:val="00B22901"/>
    <w:rsid w:val="00B25ADD"/>
    <w:rsid w:val="00B25E8E"/>
    <w:rsid w:val="00B26021"/>
    <w:rsid w:val="00B274DF"/>
    <w:rsid w:val="00B2772B"/>
    <w:rsid w:val="00B33688"/>
    <w:rsid w:val="00B33D66"/>
    <w:rsid w:val="00B34BDB"/>
    <w:rsid w:val="00B35264"/>
    <w:rsid w:val="00B3577E"/>
    <w:rsid w:val="00B36A6B"/>
    <w:rsid w:val="00B41FF2"/>
    <w:rsid w:val="00B430C8"/>
    <w:rsid w:val="00B44365"/>
    <w:rsid w:val="00B467B0"/>
    <w:rsid w:val="00B470DD"/>
    <w:rsid w:val="00B53091"/>
    <w:rsid w:val="00B53971"/>
    <w:rsid w:val="00B54FED"/>
    <w:rsid w:val="00B55256"/>
    <w:rsid w:val="00B55827"/>
    <w:rsid w:val="00B56BDF"/>
    <w:rsid w:val="00B572B9"/>
    <w:rsid w:val="00B60CB6"/>
    <w:rsid w:val="00B61A68"/>
    <w:rsid w:val="00B6383A"/>
    <w:rsid w:val="00B63A66"/>
    <w:rsid w:val="00B65812"/>
    <w:rsid w:val="00B66211"/>
    <w:rsid w:val="00B67BA2"/>
    <w:rsid w:val="00B70BBA"/>
    <w:rsid w:val="00B70EDA"/>
    <w:rsid w:val="00B71A21"/>
    <w:rsid w:val="00B71F33"/>
    <w:rsid w:val="00B747AB"/>
    <w:rsid w:val="00B756E9"/>
    <w:rsid w:val="00B757F4"/>
    <w:rsid w:val="00B75B5A"/>
    <w:rsid w:val="00B76451"/>
    <w:rsid w:val="00B77187"/>
    <w:rsid w:val="00B77820"/>
    <w:rsid w:val="00B831E6"/>
    <w:rsid w:val="00B8325D"/>
    <w:rsid w:val="00B85CD6"/>
    <w:rsid w:val="00B86EFB"/>
    <w:rsid w:val="00B8741E"/>
    <w:rsid w:val="00B876DD"/>
    <w:rsid w:val="00B90A27"/>
    <w:rsid w:val="00B90FEA"/>
    <w:rsid w:val="00B916F6"/>
    <w:rsid w:val="00B94BC1"/>
    <w:rsid w:val="00B9554D"/>
    <w:rsid w:val="00BA1948"/>
    <w:rsid w:val="00BA1DBC"/>
    <w:rsid w:val="00BA23E2"/>
    <w:rsid w:val="00BA277E"/>
    <w:rsid w:val="00BA434C"/>
    <w:rsid w:val="00BA4BD6"/>
    <w:rsid w:val="00BA5998"/>
    <w:rsid w:val="00BA6EB4"/>
    <w:rsid w:val="00BA72F9"/>
    <w:rsid w:val="00BA7AD5"/>
    <w:rsid w:val="00BB165A"/>
    <w:rsid w:val="00BB1BF9"/>
    <w:rsid w:val="00BB2B9F"/>
    <w:rsid w:val="00BB32FF"/>
    <w:rsid w:val="00BB3BDB"/>
    <w:rsid w:val="00BB4088"/>
    <w:rsid w:val="00BB522B"/>
    <w:rsid w:val="00BB5609"/>
    <w:rsid w:val="00BB7D9E"/>
    <w:rsid w:val="00BC2334"/>
    <w:rsid w:val="00BC449B"/>
    <w:rsid w:val="00BC5963"/>
    <w:rsid w:val="00BC7CB0"/>
    <w:rsid w:val="00BC7D32"/>
    <w:rsid w:val="00BD0CB5"/>
    <w:rsid w:val="00BD0EC3"/>
    <w:rsid w:val="00BD0F6C"/>
    <w:rsid w:val="00BD1ED5"/>
    <w:rsid w:val="00BD3220"/>
    <w:rsid w:val="00BD349A"/>
    <w:rsid w:val="00BD3CB8"/>
    <w:rsid w:val="00BD4599"/>
    <w:rsid w:val="00BD4E6F"/>
    <w:rsid w:val="00BE0E2E"/>
    <w:rsid w:val="00BE3495"/>
    <w:rsid w:val="00BE3C28"/>
    <w:rsid w:val="00BE4AFB"/>
    <w:rsid w:val="00BE500C"/>
    <w:rsid w:val="00BE7030"/>
    <w:rsid w:val="00BE7598"/>
    <w:rsid w:val="00BF18FE"/>
    <w:rsid w:val="00BF27AE"/>
    <w:rsid w:val="00BF32F0"/>
    <w:rsid w:val="00BF4C53"/>
    <w:rsid w:val="00BF4DCE"/>
    <w:rsid w:val="00BF76EE"/>
    <w:rsid w:val="00BF7D7E"/>
    <w:rsid w:val="00C00EBD"/>
    <w:rsid w:val="00C01F8E"/>
    <w:rsid w:val="00C02A26"/>
    <w:rsid w:val="00C03583"/>
    <w:rsid w:val="00C03AD5"/>
    <w:rsid w:val="00C05CE5"/>
    <w:rsid w:val="00C065B7"/>
    <w:rsid w:val="00C06A6C"/>
    <w:rsid w:val="00C073C3"/>
    <w:rsid w:val="00C07B8D"/>
    <w:rsid w:val="00C15222"/>
    <w:rsid w:val="00C22EC4"/>
    <w:rsid w:val="00C22F34"/>
    <w:rsid w:val="00C23CA9"/>
    <w:rsid w:val="00C24B06"/>
    <w:rsid w:val="00C2602B"/>
    <w:rsid w:val="00C2611F"/>
    <w:rsid w:val="00C301DF"/>
    <w:rsid w:val="00C3080A"/>
    <w:rsid w:val="00C31B53"/>
    <w:rsid w:val="00C32624"/>
    <w:rsid w:val="00C32A4E"/>
    <w:rsid w:val="00C37619"/>
    <w:rsid w:val="00C379CF"/>
    <w:rsid w:val="00C37E18"/>
    <w:rsid w:val="00C4270C"/>
    <w:rsid w:val="00C42C61"/>
    <w:rsid w:val="00C43648"/>
    <w:rsid w:val="00C467F9"/>
    <w:rsid w:val="00C517C2"/>
    <w:rsid w:val="00C53C75"/>
    <w:rsid w:val="00C54992"/>
    <w:rsid w:val="00C55884"/>
    <w:rsid w:val="00C573C6"/>
    <w:rsid w:val="00C6071F"/>
    <w:rsid w:val="00C60BB3"/>
    <w:rsid w:val="00C6171E"/>
    <w:rsid w:val="00C63CE0"/>
    <w:rsid w:val="00C64073"/>
    <w:rsid w:val="00C65291"/>
    <w:rsid w:val="00C66AAA"/>
    <w:rsid w:val="00C70FC9"/>
    <w:rsid w:val="00C742EC"/>
    <w:rsid w:val="00C74DF4"/>
    <w:rsid w:val="00C801B1"/>
    <w:rsid w:val="00C84B38"/>
    <w:rsid w:val="00C8603A"/>
    <w:rsid w:val="00C86D82"/>
    <w:rsid w:val="00C91DFA"/>
    <w:rsid w:val="00C93522"/>
    <w:rsid w:val="00C95852"/>
    <w:rsid w:val="00C96142"/>
    <w:rsid w:val="00C968B7"/>
    <w:rsid w:val="00CA235B"/>
    <w:rsid w:val="00CA4172"/>
    <w:rsid w:val="00CA514A"/>
    <w:rsid w:val="00CA6011"/>
    <w:rsid w:val="00CA6F2C"/>
    <w:rsid w:val="00CA7D55"/>
    <w:rsid w:val="00CA7F4E"/>
    <w:rsid w:val="00CB43CE"/>
    <w:rsid w:val="00CB4F54"/>
    <w:rsid w:val="00CB6024"/>
    <w:rsid w:val="00CC07DC"/>
    <w:rsid w:val="00CC1EB6"/>
    <w:rsid w:val="00CC338F"/>
    <w:rsid w:val="00CC3C0B"/>
    <w:rsid w:val="00CC531F"/>
    <w:rsid w:val="00CC5C46"/>
    <w:rsid w:val="00CC60AA"/>
    <w:rsid w:val="00CC6647"/>
    <w:rsid w:val="00CC6DDA"/>
    <w:rsid w:val="00CD1E63"/>
    <w:rsid w:val="00CD69DF"/>
    <w:rsid w:val="00CE10A1"/>
    <w:rsid w:val="00CE17AD"/>
    <w:rsid w:val="00CE4B9D"/>
    <w:rsid w:val="00CE5556"/>
    <w:rsid w:val="00CE6B78"/>
    <w:rsid w:val="00CF0061"/>
    <w:rsid w:val="00CF0B7D"/>
    <w:rsid w:val="00CF1871"/>
    <w:rsid w:val="00CF19F0"/>
    <w:rsid w:val="00CF24C8"/>
    <w:rsid w:val="00CF6899"/>
    <w:rsid w:val="00D00FA2"/>
    <w:rsid w:val="00D0197B"/>
    <w:rsid w:val="00D019CE"/>
    <w:rsid w:val="00D02D60"/>
    <w:rsid w:val="00D03AD9"/>
    <w:rsid w:val="00D04DF6"/>
    <w:rsid w:val="00D1120B"/>
    <w:rsid w:val="00D1133E"/>
    <w:rsid w:val="00D132EB"/>
    <w:rsid w:val="00D14678"/>
    <w:rsid w:val="00D15545"/>
    <w:rsid w:val="00D17A34"/>
    <w:rsid w:val="00D24C00"/>
    <w:rsid w:val="00D26628"/>
    <w:rsid w:val="00D27757"/>
    <w:rsid w:val="00D27ABE"/>
    <w:rsid w:val="00D27D8A"/>
    <w:rsid w:val="00D308E3"/>
    <w:rsid w:val="00D332B3"/>
    <w:rsid w:val="00D36BDF"/>
    <w:rsid w:val="00D3728C"/>
    <w:rsid w:val="00D3731A"/>
    <w:rsid w:val="00D37F3A"/>
    <w:rsid w:val="00D40C7E"/>
    <w:rsid w:val="00D40C88"/>
    <w:rsid w:val="00D41D97"/>
    <w:rsid w:val="00D437DA"/>
    <w:rsid w:val="00D455E6"/>
    <w:rsid w:val="00D45955"/>
    <w:rsid w:val="00D4721A"/>
    <w:rsid w:val="00D5066F"/>
    <w:rsid w:val="00D50CA5"/>
    <w:rsid w:val="00D52D10"/>
    <w:rsid w:val="00D55207"/>
    <w:rsid w:val="00D60830"/>
    <w:rsid w:val="00D64771"/>
    <w:rsid w:val="00D673A3"/>
    <w:rsid w:val="00D70042"/>
    <w:rsid w:val="00D704DE"/>
    <w:rsid w:val="00D708AC"/>
    <w:rsid w:val="00D729D5"/>
    <w:rsid w:val="00D73482"/>
    <w:rsid w:val="00D81643"/>
    <w:rsid w:val="00D81801"/>
    <w:rsid w:val="00D81FA2"/>
    <w:rsid w:val="00D823B6"/>
    <w:rsid w:val="00D8306A"/>
    <w:rsid w:val="00D853D8"/>
    <w:rsid w:val="00D92613"/>
    <w:rsid w:val="00D92B45"/>
    <w:rsid w:val="00D94584"/>
    <w:rsid w:val="00D95962"/>
    <w:rsid w:val="00D95B5F"/>
    <w:rsid w:val="00D95EEB"/>
    <w:rsid w:val="00D9623E"/>
    <w:rsid w:val="00D973C0"/>
    <w:rsid w:val="00DA12CF"/>
    <w:rsid w:val="00DA34A1"/>
    <w:rsid w:val="00DA38D8"/>
    <w:rsid w:val="00DA45B2"/>
    <w:rsid w:val="00DA5B1F"/>
    <w:rsid w:val="00DA7EBF"/>
    <w:rsid w:val="00DB038D"/>
    <w:rsid w:val="00DB14F3"/>
    <w:rsid w:val="00DB4E4B"/>
    <w:rsid w:val="00DB540A"/>
    <w:rsid w:val="00DB6FF5"/>
    <w:rsid w:val="00DB7505"/>
    <w:rsid w:val="00DB7FFD"/>
    <w:rsid w:val="00DC0269"/>
    <w:rsid w:val="00DC36D1"/>
    <w:rsid w:val="00DC389B"/>
    <w:rsid w:val="00DC6355"/>
    <w:rsid w:val="00DC7D42"/>
    <w:rsid w:val="00DD09FB"/>
    <w:rsid w:val="00DD58B8"/>
    <w:rsid w:val="00DD66EF"/>
    <w:rsid w:val="00DE0FBC"/>
    <w:rsid w:val="00DE20AA"/>
    <w:rsid w:val="00DE2FEE"/>
    <w:rsid w:val="00DE6442"/>
    <w:rsid w:val="00DF2B8E"/>
    <w:rsid w:val="00DF3973"/>
    <w:rsid w:val="00E00BE9"/>
    <w:rsid w:val="00E042B5"/>
    <w:rsid w:val="00E04A9B"/>
    <w:rsid w:val="00E068F2"/>
    <w:rsid w:val="00E06CC4"/>
    <w:rsid w:val="00E07761"/>
    <w:rsid w:val="00E11234"/>
    <w:rsid w:val="00E124E5"/>
    <w:rsid w:val="00E22A11"/>
    <w:rsid w:val="00E22E62"/>
    <w:rsid w:val="00E242C6"/>
    <w:rsid w:val="00E24BD2"/>
    <w:rsid w:val="00E24D66"/>
    <w:rsid w:val="00E27246"/>
    <w:rsid w:val="00E27405"/>
    <w:rsid w:val="00E31227"/>
    <w:rsid w:val="00E31286"/>
    <w:rsid w:val="00E31E5C"/>
    <w:rsid w:val="00E35E31"/>
    <w:rsid w:val="00E40797"/>
    <w:rsid w:val="00E4094D"/>
    <w:rsid w:val="00E44DD2"/>
    <w:rsid w:val="00E44E11"/>
    <w:rsid w:val="00E452B4"/>
    <w:rsid w:val="00E45BBB"/>
    <w:rsid w:val="00E53DDA"/>
    <w:rsid w:val="00E54079"/>
    <w:rsid w:val="00E558C3"/>
    <w:rsid w:val="00E55927"/>
    <w:rsid w:val="00E60B0D"/>
    <w:rsid w:val="00E62C69"/>
    <w:rsid w:val="00E62FB5"/>
    <w:rsid w:val="00E6334C"/>
    <w:rsid w:val="00E64A3C"/>
    <w:rsid w:val="00E65748"/>
    <w:rsid w:val="00E666C0"/>
    <w:rsid w:val="00E66C53"/>
    <w:rsid w:val="00E673C7"/>
    <w:rsid w:val="00E73D06"/>
    <w:rsid w:val="00E7541A"/>
    <w:rsid w:val="00E76F37"/>
    <w:rsid w:val="00E7726E"/>
    <w:rsid w:val="00E81E9F"/>
    <w:rsid w:val="00E8221A"/>
    <w:rsid w:val="00E851ED"/>
    <w:rsid w:val="00E87C2E"/>
    <w:rsid w:val="00E912A6"/>
    <w:rsid w:val="00E921F0"/>
    <w:rsid w:val="00E93310"/>
    <w:rsid w:val="00E9396F"/>
    <w:rsid w:val="00E95533"/>
    <w:rsid w:val="00E95BA5"/>
    <w:rsid w:val="00E96082"/>
    <w:rsid w:val="00E965EE"/>
    <w:rsid w:val="00E96FF1"/>
    <w:rsid w:val="00EA067A"/>
    <w:rsid w:val="00EA07FC"/>
    <w:rsid w:val="00EA0819"/>
    <w:rsid w:val="00EA114B"/>
    <w:rsid w:val="00EA13EE"/>
    <w:rsid w:val="00EA40F9"/>
    <w:rsid w:val="00EA4844"/>
    <w:rsid w:val="00EA4D9C"/>
    <w:rsid w:val="00EA57F8"/>
    <w:rsid w:val="00EA5A97"/>
    <w:rsid w:val="00EA5D80"/>
    <w:rsid w:val="00EB2B9F"/>
    <w:rsid w:val="00EB2DA2"/>
    <w:rsid w:val="00EB2F64"/>
    <w:rsid w:val="00EB454B"/>
    <w:rsid w:val="00EB5E01"/>
    <w:rsid w:val="00EB6AB4"/>
    <w:rsid w:val="00EB75EE"/>
    <w:rsid w:val="00EC0964"/>
    <w:rsid w:val="00EC2261"/>
    <w:rsid w:val="00EC2871"/>
    <w:rsid w:val="00EC4A01"/>
    <w:rsid w:val="00EC5363"/>
    <w:rsid w:val="00EC64E4"/>
    <w:rsid w:val="00EC68C4"/>
    <w:rsid w:val="00EC70E3"/>
    <w:rsid w:val="00ED07DD"/>
    <w:rsid w:val="00ED1C7D"/>
    <w:rsid w:val="00ED57CB"/>
    <w:rsid w:val="00ED668F"/>
    <w:rsid w:val="00EE05DA"/>
    <w:rsid w:val="00EE0E00"/>
    <w:rsid w:val="00EE1268"/>
    <w:rsid w:val="00EE185D"/>
    <w:rsid w:val="00EE3311"/>
    <w:rsid w:val="00EE4C1D"/>
    <w:rsid w:val="00EE5BD7"/>
    <w:rsid w:val="00EE7298"/>
    <w:rsid w:val="00EF0291"/>
    <w:rsid w:val="00EF03B5"/>
    <w:rsid w:val="00EF2EAA"/>
    <w:rsid w:val="00EF3685"/>
    <w:rsid w:val="00EF4EA0"/>
    <w:rsid w:val="00EF5E4F"/>
    <w:rsid w:val="00EF63F3"/>
    <w:rsid w:val="00EF67F7"/>
    <w:rsid w:val="00EF7EBA"/>
    <w:rsid w:val="00EF7F3B"/>
    <w:rsid w:val="00F00646"/>
    <w:rsid w:val="00F009C3"/>
    <w:rsid w:val="00F01E97"/>
    <w:rsid w:val="00F02136"/>
    <w:rsid w:val="00F0315D"/>
    <w:rsid w:val="00F03204"/>
    <w:rsid w:val="00F03FBE"/>
    <w:rsid w:val="00F04350"/>
    <w:rsid w:val="00F046C8"/>
    <w:rsid w:val="00F05401"/>
    <w:rsid w:val="00F055E9"/>
    <w:rsid w:val="00F05780"/>
    <w:rsid w:val="00F060D6"/>
    <w:rsid w:val="00F13050"/>
    <w:rsid w:val="00F133DB"/>
    <w:rsid w:val="00F1384B"/>
    <w:rsid w:val="00F1440D"/>
    <w:rsid w:val="00F14FDC"/>
    <w:rsid w:val="00F159EB"/>
    <w:rsid w:val="00F1695C"/>
    <w:rsid w:val="00F217AF"/>
    <w:rsid w:val="00F21C0B"/>
    <w:rsid w:val="00F2235F"/>
    <w:rsid w:val="00F25BF4"/>
    <w:rsid w:val="00F26246"/>
    <w:rsid w:val="00F26487"/>
    <w:rsid w:val="00F267DB"/>
    <w:rsid w:val="00F26C4A"/>
    <w:rsid w:val="00F27512"/>
    <w:rsid w:val="00F32FDD"/>
    <w:rsid w:val="00F33556"/>
    <w:rsid w:val="00F345FD"/>
    <w:rsid w:val="00F36F99"/>
    <w:rsid w:val="00F3755C"/>
    <w:rsid w:val="00F40A7D"/>
    <w:rsid w:val="00F4305E"/>
    <w:rsid w:val="00F434D6"/>
    <w:rsid w:val="00F43B0C"/>
    <w:rsid w:val="00F45CD1"/>
    <w:rsid w:val="00F460A5"/>
    <w:rsid w:val="00F46D40"/>
    <w:rsid w:val="00F46F6F"/>
    <w:rsid w:val="00F47B1D"/>
    <w:rsid w:val="00F507E6"/>
    <w:rsid w:val="00F50C46"/>
    <w:rsid w:val="00F60608"/>
    <w:rsid w:val="00F62217"/>
    <w:rsid w:val="00F6341F"/>
    <w:rsid w:val="00F64685"/>
    <w:rsid w:val="00F64D8E"/>
    <w:rsid w:val="00F66AD1"/>
    <w:rsid w:val="00F74DD4"/>
    <w:rsid w:val="00F76134"/>
    <w:rsid w:val="00F77173"/>
    <w:rsid w:val="00F7722F"/>
    <w:rsid w:val="00F84112"/>
    <w:rsid w:val="00F86A60"/>
    <w:rsid w:val="00F9090D"/>
    <w:rsid w:val="00F93447"/>
    <w:rsid w:val="00FA1AB8"/>
    <w:rsid w:val="00FA2277"/>
    <w:rsid w:val="00FA3307"/>
    <w:rsid w:val="00FA4CA4"/>
    <w:rsid w:val="00FA7294"/>
    <w:rsid w:val="00FB0DD7"/>
    <w:rsid w:val="00FB17A9"/>
    <w:rsid w:val="00FB1A4F"/>
    <w:rsid w:val="00FB2786"/>
    <w:rsid w:val="00FB29E9"/>
    <w:rsid w:val="00FB2B73"/>
    <w:rsid w:val="00FB3B64"/>
    <w:rsid w:val="00FB527C"/>
    <w:rsid w:val="00FB667F"/>
    <w:rsid w:val="00FB6F75"/>
    <w:rsid w:val="00FC0EB3"/>
    <w:rsid w:val="00FC3120"/>
    <w:rsid w:val="00FC319E"/>
    <w:rsid w:val="00FC345E"/>
    <w:rsid w:val="00FC44D6"/>
    <w:rsid w:val="00FC4E25"/>
    <w:rsid w:val="00FC56CB"/>
    <w:rsid w:val="00FC57FC"/>
    <w:rsid w:val="00FD080F"/>
    <w:rsid w:val="00FD12AD"/>
    <w:rsid w:val="00FD675E"/>
    <w:rsid w:val="00FE0BF0"/>
    <w:rsid w:val="00FE2456"/>
    <w:rsid w:val="00FE25E3"/>
    <w:rsid w:val="00FE3135"/>
    <w:rsid w:val="00FE5674"/>
    <w:rsid w:val="00FE635D"/>
    <w:rsid w:val="00FE6833"/>
    <w:rsid w:val="00FE69C4"/>
    <w:rsid w:val="00FE7765"/>
    <w:rsid w:val="00FF0E70"/>
    <w:rsid w:val="00FF3E50"/>
    <w:rsid w:val="00FF4225"/>
    <w:rsid w:val="00FF63CF"/>
    <w:rsid w:val="00FF6AF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41CFF4B4-08DF-4E7A-A1E2-A2F848B6F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A66484"/>
    <w:pPr>
      <w:spacing w:after="120"/>
      <w:jc w:val="both"/>
    </w:pPr>
    <w:rPr>
      <w:rFonts w:ascii="Calibri" w:hAnsi="Calibri"/>
    </w:rPr>
  </w:style>
  <w:style w:type="character" w:customStyle="1" w:styleId="BodyTextChar">
    <w:name w:val="Body Text Char"/>
    <w:link w:val="BodyText"/>
    <w:rsid w:val="00A66484"/>
    <w:rPr>
      <w:rFonts w:cs="Calibri"/>
      <w:sz w:val="22"/>
      <w:szCs w:val="22"/>
    </w:rPr>
  </w:style>
  <w:style w:type="paragraph" w:customStyle="1" w:styleId="Bullet1">
    <w:name w:val="Bullet 1"/>
    <w:basedOn w:val="Normal"/>
    <w:qFormat/>
    <w:rsid w:val="00990D74"/>
    <w:pPr>
      <w:numPr>
        <w:numId w:val="10"/>
      </w:numPr>
      <w:tabs>
        <w:tab w:val="clear" w:pos="720"/>
        <w:tab w:val="left" w:pos="1134"/>
      </w:tabs>
      <w:spacing w:after="120"/>
      <w:ind w:left="1134" w:hanging="567"/>
      <w:jc w:val="both"/>
      <w:outlineLvl w:val="0"/>
    </w:pPr>
    <w:rPr>
      <w:rFonts w:ascii="Calibri" w:hAnsi="Calibr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990D74"/>
    <w:pPr>
      <w:numPr>
        <w:numId w:val="22"/>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195091"/>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195091"/>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7C1E71"/>
    <w:pPr>
      <w:numPr>
        <w:numId w:val="17"/>
      </w:numPr>
      <w:spacing w:after="120"/>
    </w:pPr>
    <w:rPr>
      <w:rFonts w:ascii="Calibri" w:hAnsi="Calibr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Body">
    <w:name w:val="Body"/>
    <w:rsid w:val="007F3553"/>
    <w:pPr>
      <w:spacing w:after="200" w:line="276" w:lineRule="auto"/>
      <w:jc w:val="both"/>
    </w:pPr>
    <w:rPr>
      <w:rFonts w:ascii="Helvetica" w:eastAsia="Arial Unicode MS" w:hAnsi="Arial Unicode MS" w:cs="Arial Unicode MS"/>
      <w:color w:val="08374B"/>
      <w:sz w:val="24"/>
      <w:szCs w:val="24"/>
      <w:u w:color="08374B"/>
      <w:lang w:val="en-US" w:eastAsia="en-US"/>
    </w:rPr>
  </w:style>
  <w:style w:type="paragraph" w:customStyle="1" w:styleId="Mybold">
    <w:name w:val="My bold"/>
    <w:basedOn w:val="Normal"/>
    <w:link w:val="MyboldTegn"/>
    <w:autoRedefine/>
    <w:qFormat/>
    <w:rsid w:val="00990D74"/>
    <w:pPr>
      <w:spacing w:after="120"/>
      <w:jc w:val="center"/>
    </w:pPr>
    <w:rPr>
      <w:rFonts w:asciiTheme="minorHAnsi" w:hAnsiTheme="minorHAnsi"/>
      <w:b/>
    </w:rPr>
  </w:style>
  <w:style w:type="character" w:customStyle="1" w:styleId="MyboldTegn">
    <w:name w:val="My bold Tegn"/>
    <w:basedOn w:val="DefaultParagraphFont"/>
    <w:link w:val="Mybold"/>
    <w:rsid w:val="00990D74"/>
    <w:rPr>
      <w:rFonts w:asciiTheme="minorHAnsi" w:hAnsiTheme="minorHAnsi" w:cs="Calibri"/>
      <w:b/>
      <w:sz w:val="22"/>
      <w:szCs w:val="22"/>
    </w:rPr>
  </w:style>
  <w:style w:type="paragraph" w:styleId="DocumentMap">
    <w:name w:val="Document Map"/>
    <w:basedOn w:val="Normal"/>
    <w:link w:val="DocumentMapChar"/>
    <w:uiPriority w:val="99"/>
    <w:semiHidden/>
    <w:unhideWhenUsed/>
    <w:rsid w:val="00E8221A"/>
    <w:rPr>
      <w:rFonts w:ascii="Gulim" w:eastAsia="Gulim"/>
      <w:sz w:val="18"/>
      <w:szCs w:val="18"/>
    </w:rPr>
  </w:style>
  <w:style w:type="character" w:customStyle="1" w:styleId="DocumentMapChar">
    <w:name w:val="Document Map Char"/>
    <w:basedOn w:val="DefaultParagraphFont"/>
    <w:link w:val="DocumentMap"/>
    <w:uiPriority w:val="99"/>
    <w:semiHidden/>
    <w:rsid w:val="00E8221A"/>
    <w:rPr>
      <w:rFonts w:ascii="Gulim" w:eastAsia="Gulim" w:hAnsi="Arial" w:cs="Calibri"/>
      <w:sz w:val="18"/>
      <w:szCs w:val="18"/>
    </w:rPr>
  </w:style>
  <w:style w:type="paragraph" w:styleId="Caption">
    <w:name w:val="caption"/>
    <w:basedOn w:val="Normal"/>
    <w:next w:val="Normal"/>
    <w:uiPriority w:val="35"/>
    <w:unhideWhenUsed/>
    <w:qFormat/>
    <w:rsid w:val="00075A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0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E90CE-F40C-49DB-954B-1A29F601E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1852</Words>
  <Characters>10562</Characters>
  <Application>Microsoft Office Word</Application>
  <DocSecurity>0</DocSecurity>
  <Lines>88</Lines>
  <Paragraphs>24</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cp:lastPrinted>2017-08-21T04:25:00Z</cp:lastPrinted>
  <dcterms:created xsi:type="dcterms:W3CDTF">2017-08-31T09:55:00Z</dcterms:created>
  <dcterms:modified xsi:type="dcterms:W3CDTF">2017-09-01T10:20:00Z</dcterms:modified>
</cp:coreProperties>
</file>